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BC0B" w14:textId="77777777" w:rsidR="001511CB" w:rsidRPr="00214288" w:rsidRDefault="001511CB" w:rsidP="001511CB">
      <w:pPr>
        <w:pStyle w:val="a4"/>
        <w:tabs>
          <w:tab w:val="left" w:pos="4765"/>
        </w:tabs>
        <w:jc w:val="center"/>
        <w:rPr>
          <w:rFonts w:ascii="標楷體" w:eastAsia="標楷體" w:hAnsi="標楷體"/>
        </w:rPr>
      </w:pPr>
      <w:r w:rsidRPr="00214288">
        <w:rPr>
          <w:rFonts w:ascii="標楷體" w:eastAsia="標楷體" w:hAnsi="標楷體"/>
          <w:spacing w:val="46"/>
        </w:rPr>
        <w:t>社團法人高雄市地政士公</w:t>
      </w:r>
      <w:r w:rsidRPr="00214288">
        <w:rPr>
          <w:rFonts w:ascii="標楷體" w:eastAsia="標楷體" w:hAnsi="標楷體"/>
          <w:spacing w:val="-10"/>
        </w:rPr>
        <w:t>會</w:t>
      </w:r>
    </w:p>
    <w:p w14:paraId="6334DEB7" w14:textId="77777777" w:rsidR="001511CB" w:rsidRPr="00214288" w:rsidRDefault="001511CB" w:rsidP="001511CB">
      <w:pPr>
        <w:pStyle w:val="a4"/>
        <w:tabs>
          <w:tab w:val="left" w:pos="4765"/>
        </w:tabs>
        <w:jc w:val="center"/>
        <w:rPr>
          <w:rFonts w:ascii="標楷體" w:eastAsia="標楷體" w:hAnsi="標楷體"/>
          <w:spacing w:val="30"/>
        </w:rPr>
      </w:pPr>
      <w:r w:rsidRPr="00214288">
        <w:rPr>
          <w:rFonts w:ascii="標楷體" w:eastAsia="標楷體" w:hAnsi="標楷體"/>
          <w:spacing w:val="46"/>
        </w:rPr>
        <w:t>雙地政士執行業務準</w:t>
      </w:r>
      <w:r w:rsidRPr="00214288">
        <w:rPr>
          <w:rFonts w:ascii="標楷體" w:eastAsia="標楷體" w:hAnsi="標楷體"/>
          <w:spacing w:val="30"/>
        </w:rPr>
        <w:t>則</w:t>
      </w:r>
    </w:p>
    <w:p w14:paraId="5888B344" w14:textId="0792C82A" w:rsidR="001511CB" w:rsidRPr="00214288" w:rsidRDefault="001511CB" w:rsidP="001511CB">
      <w:pPr>
        <w:pStyle w:val="a4"/>
        <w:tabs>
          <w:tab w:val="left" w:pos="4765"/>
        </w:tabs>
        <w:jc w:val="center"/>
        <w:rPr>
          <w:rFonts w:ascii="標楷體" w:eastAsia="標楷體" w:hAnsi="標楷體"/>
          <w:spacing w:val="30"/>
        </w:rPr>
      </w:pPr>
      <w:r w:rsidRPr="00214288">
        <w:rPr>
          <w:rFonts w:ascii="標楷體" w:eastAsia="標楷體" w:hAnsi="標楷體" w:hint="eastAsia"/>
          <w:spacing w:val="30"/>
        </w:rPr>
        <w:t>訂定總說明</w:t>
      </w:r>
    </w:p>
    <w:p w14:paraId="480F69F9" w14:textId="77777777" w:rsidR="00071552" w:rsidRPr="00214288" w:rsidRDefault="00071552" w:rsidP="001511CB">
      <w:pPr>
        <w:pStyle w:val="a4"/>
        <w:tabs>
          <w:tab w:val="left" w:pos="4765"/>
        </w:tabs>
        <w:jc w:val="center"/>
        <w:rPr>
          <w:rFonts w:ascii="標楷體" w:eastAsia="標楷體" w:hAnsi="標楷體"/>
        </w:rPr>
      </w:pPr>
    </w:p>
    <w:p w14:paraId="38F1C36D" w14:textId="1AB94EBF" w:rsidR="005821B0" w:rsidRPr="00214288" w:rsidRDefault="005821B0" w:rsidP="005821B0">
      <w:pPr>
        <w:pStyle w:val="a4"/>
        <w:tabs>
          <w:tab w:val="left" w:pos="4765"/>
        </w:tabs>
        <w:spacing w:line="360" w:lineRule="auto"/>
        <w:ind w:left="0" w:firstLineChars="200" w:firstLine="561"/>
        <w:rPr>
          <w:rFonts w:ascii="標楷體" w:eastAsia="標楷體" w:hAnsi="標楷體" w:cs="新細明體"/>
          <w:sz w:val="28"/>
          <w:szCs w:val="28"/>
        </w:rPr>
      </w:pPr>
      <w:r w:rsidRPr="00214288">
        <w:rPr>
          <w:rFonts w:ascii="標楷體" w:eastAsia="標楷體" w:hAnsi="標楷體" w:cs="新細明體" w:hint="eastAsia"/>
          <w:sz w:val="28"/>
          <w:szCs w:val="28"/>
        </w:rPr>
        <w:t>近年來不動產交易詐騙案件層出不窮，常見態樣包括：偽冒當事人、冒用委</w:t>
      </w:r>
      <w:r w:rsidR="0031375A" w:rsidRPr="00214288">
        <w:rPr>
          <w:rFonts w:ascii="標楷體" w:eastAsia="標楷體" w:hAnsi="標楷體" w:cs="新細明體" w:hint="eastAsia"/>
          <w:sz w:val="28"/>
          <w:szCs w:val="28"/>
        </w:rPr>
        <w:t>任</w:t>
      </w:r>
      <w:r w:rsidRPr="00214288">
        <w:rPr>
          <w:rFonts w:ascii="標楷體" w:eastAsia="標楷體" w:hAnsi="標楷體" w:cs="新細明體" w:hint="eastAsia"/>
          <w:sz w:val="28"/>
          <w:szCs w:val="28"/>
        </w:rPr>
        <w:t>書、不實簽章、一方要求指定地政士，並不許他方</w:t>
      </w:r>
      <w:r w:rsidR="00AC5C47" w:rsidRPr="00214288">
        <w:rPr>
          <w:rFonts w:ascii="標楷體" w:eastAsia="標楷體" w:hAnsi="標楷體" w:cs="新細明體" w:hint="eastAsia"/>
          <w:sz w:val="28"/>
          <w:szCs w:val="28"/>
        </w:rPr>
        <w:t>另行委任</w:t>
      </w:r>
      <w:r w:rsidR="00071552" w:rsidRPr="00214288">
        <w:rPr>
          <w:rFonts w:ascii="標楷體" w:eastAsia="標楷體" w:hAnsi="標楷體" w:cs="新細明體" w:hint="eastAsia"/>
          <w:sz w:val="28"/>
          <w:szCs w:val="28"/>
        </w:rPr>
        <w:t>地政士、</w:t>
      </w:r>
      <w:r w:rsidRPr="00214288">
        <w:rPr>
          <w:rFonts w:ascii="標楷體" w:eastAsia="標楷體" w:hAnsi="標楷體" w:cs="新細明體" w:hint="eastAsia"/>
          <w:sz w:val="28"/>
          <w:szCs w:val="28"/>
        </w:rPr>
        <w:t>假買賣真借貸</w:t>
      </w:r>
      <w:r w:rsidR="00692EC0" w:rsidRPr="00214288">
        <w:rPr>
          <w:rFonts w:ascii="標楷體" w:eastAsia="標楷體" w:hAnsi="標楷體" w:cs="新細明體" w:hint="eastAsia"/>
          <w:sz w:val="28"/>
          <w:szCs w:val="28"/>
        </w:rPr>
        <w:t>、</w:t>
      </w:r>
      <w:r w:rsidRPr="00214288">
        <w:rPr>
          <w:rFonts w:ascii="標楷體" w:eastAsia="標楷體" w:hAnsi="標楷體" w:cs="新細明體" w:hint="eastAsia"/>
          <w:sz w:val="28"/>
          <w:szCs w:val="28"/>
        </w:rPr>
        <w:t>假投資真詐財‥‥等，嚴重侵害人民財產權益。實務上，亦偶見微數地政士疏忽未盡查證義務，疑涉詐騙成共犯結構。</w:t>
      </w:r>
    </w:p>
    <w:p w14:paraId="2DE301A5" w14:textId="617852A3" w:rsidR="005821B0" w:rsidRPr="00214288" w:rsidRDefault="005821B0" w:rsidP="005821B0">
      <w:pPr>
        <w:pStyle w:val="a4"/>
        <w:tabs>
          <w:tab w:val="left" w:pos="4765"/>
        </w:tabs>
        <w:spacing w:line="360" w:lineRule="auto"/>
        <w:ind w:left="0" w:firstLineChars="200" w:firstLine="561"/>
        <w:rPr>
          <w:rFonts w:ascii="標楷體" w:eastAsia="標楷體" w:hAnsi="標楷體" w:cs="新細明體"/>
          <w:sz w:val="28"/>
          <w:szCs w:val="28"/>
        </w:rPr>
      </w:pPr>
      <w:r w:rsidRPr="00214288">
        <w:rPr>
          <w:rFonts w:ascii="標楷體" w:eastAsia="標楷體" w:hAnsi="標楷體" w:cs="新細明體" w:hint="eastAsia"/>
          <w:sz w:val="28"/>
          <w:szCs w:val="28"/>
        </w:rPr>
        <w:t>隨著民眾財產安全意識提升，委任雙地政士共同辦理登記業務之情形日益普遍。雙地政士制度具雙重驗證與交叉監督之功能，助於減少人為疏失與道德風險，提升資料審核精確度與可疑案件辨識能力，強化自律機制，對防範詐騙具積極效益，與地政機關後端之「關懷提問」更甚達預防阻詐效果。</w:t>
      </w:r>
    </w:p>
    <w:p w14:paraId="6FA7964A" w14:textId="2EAC8B4F" w:rsidR="005821B0" w:rsidRPr="00214288" w:rsidRDefault="005821B0" w:rsidP="005821B0">
      <w:pPr>
        <w:pStyle w:val="a4"/>
        <w:tabs>
          <w:tab w:val="left" w:pos="4765"/>
        </w:tabs>
        <w:spacing w:line="360" w:lineRule="auto"/>
        <w:ind w:left="0" w:firstLineChars="200" w:firstLine="561"/>
        <w:rPr>
          <w:rFonts w:ascii="標楷體" w:eastAsia="標楷體" w:hAnsi="標楷體"/>
          <w:spacing w:val="46"/>
          <w:sz w:val="28"/>
          <w:szCs w:val="28"/>
        </w:rPr>
      </w:pPr>
      <w:r w:rsidRPr="00214288">
        <w:rPr>
          <w:rFonts w:ascii="標楷體" w:eastAsia="標楷體" w:hAnsi="標楷體" w:cs="新細明體" w:hint="eastAsia"/>
          <w:sz w:val="28"/>
          <w:szCs w:val="28"/>
        </w:rPr>
        <w:t>地政士法第</w:t>
      </w:r>
      <w:r w:rsidRPr="00214288">
        <w:rPr>
          <w:rFonts w:ascii="標楷體" w:eastAsia="標楷體" w:hAnsi="標楷體" w:cs="新細明體"/>
          <w:sz w:val="28"/>
          <w:szCs w:val="28"/>
        </w:rPr>
        <w:t>1</w:t>
      </w:r>
      <w:r w:rsidRPr="00214288">
        <w:rPr>
          <w:rFonts w:ascii="標楷體" w:eastAsia="標楷體" w:hAnsi="標楷體" w:cs="新細明體" w:hint="eastAsia"/>
          <w:sz w:val="28"/>
          <w:szCs w:val="28"/>
        </w:rPr>
        <w:t>條規定：「為維護不動產交易安全，保障人民財產權益，建立地政士制度」，地政士職能具公益性及交易安全維護之責。現行實務上，如有雙地政士制度於實務執行有一致性與明確性指引，將增進雙地政士制度推動成效。查社團法人</w:t>
      </w:r>
      <w:r w:rsidR="001511CB" w:rsidRPr="00214288">
        <w:rPr>
          <w:rFonts w:ascii="標楷體" w:eastAsia="標楷體" w:hAnsi="標楷體" w:cs="新細明體" w:hint="eastAsia"/>
          <w:sz w:val="28"/>
          <w:szCs w:val="28"/>
        </w:rPr>
        <w:t>中華民國</w:t>
      </w:r>
      <w:r w:rsidRPr="00214288">
        <w:rPr>
          <w:rFonts w:ascii="標楷體" w:eastAsia="標楷體" w:hAnsi="標楷體" w:cs="新細明體" w:hint="eastAsia"/>
          <w:sz w:val="28"/>
          <w:szCs w:val="28"/>
        </w:rPr>
        <w:t>地政士公會全國聯合會業於</w:t>
      </w:r>
      <w:r w:rsidRPr="00214288">
        <w:rPr>
          <w:rFonts w:ascii="標楷體" w:eastAsia="標楷體" w:hAnsi="標楷體" w:cs="新細明體"/>
          <w:sz w:val="28"/>
          <w:szCs w:val="28"/>
        </w:rPr>
        <w:t>100年3月訂定雙地政士制度執行業務準則，並於107年12月完成修正；各縣市公會，包括新北市、</w:t>
      </w:r>
      <w:r w:rsidR="00134778" w:rsidRPr="00214288">
        <w:rPr>
          <w:rFonts w:ascii="標楷體" w:eastAsia="標楷體" w:hAnsi="標楷體" w:cs="新細明體" w:hint="eastAsia"/>
          <w:sz w:val="28"/>
          <w:szCs w:val="28"/>
        </w:rPr>
        <w:t>桃園市、</w:t>
      </w:r>
      <w:r w:rsidRPr="00214288">
        <w:rPr>
          <w:rFonts w:ascii="標楷體" w:eastAsia="標楷體" w:hAnsi="標楷體" w:cs="新細明體"/>
          <w:sz w:val="28"/>
          <w:szCs w:val="28"/>
        </w:rPr>
        <w:t>新竹</w:t>
      </w:r>
      <w:r w:rsidR="000D3F5E" w:rsidRPr="00214288">
        <w:rPr>
          <w:rFonts w:ascii="標楷體" w:eastAsia="標楷體" w:hAnsi="標楷體" w:cs="新細明體" w:hint="eastAsia"/>
          <w:sz w:val="28"/>
          <w:szCs w:val="28"/>
        </w:rPr>
        <w:t>縣</w:t>
      </w:r>
      <w:r w:rsidRPr="00214288">
        <w:rPr>
          <w:rFonts w:ascii="標楷體" w:eastAsia="標楷體" w:hAnsi="標楷體" w:cs="新細明體"/>
          <w:sz w:val="28"/>
          <w:szCs w:val="28"/>
        </w:rPr>
        <w:t>及台中市等地政士公會亦陸續訂定相關執行規範。</w:t>
      </w:r>
    </w:p>
    <w:p w14:paraId="26B44321" w14:textId="11A7DA06" w:rsidR="005821B0" w:rsidRPr="00214288" w:rsidRDefault="005821B0" w:rsidP="005821B0">
      <w:pPr>
        <w:pStyle w:val="a4"/>
        <w:tabs>
          <w:tab w:val="left" w:pos="4765"/>
        </w:tabs>
        <w:spacing w:line="360" w:lineRule="auto"/>
        <w:ind w:left="0" w:firstLineChars="200" w:firstLine="561"/>
        <w:rPr>
          <w:rFonts w:ascii="標楷體" w:eastAsia="標楷體" w:hAnsi="標楷體" w:cs="新細明體"/>
          <w:sz w:val="28"/>
          <w:szCs w:val="28"/>
        </w:rPr>
      </w:pPr>
      <w:r w:rsidRPr="00214288">
        <w:rPr>
          <w:rFonts w:ascii="標楷體" w:eastAsia="標楷體" w:hAnsi="標楷體" w:cs="新細明體" w:hint="eastAsia"/>
          <w:sz w:val="28"/>
          <w:szCs w:val="28"/>
        </w:rPr>
        <w:t>故本會依據高雄市政府地政局</w:t>
      </w:r>
      <w:r w:rsidRPr="00214288">
        <w:rPr>
          <w:rFonts w:ascii="標楷體" w:eastAsia="標楷體" w:hAnsi="標楷體" w:cs="新細明體"/>
          <w:sz w:val="28"/>
          <w:szCs w:val="28"/>
        </w:rPr>
        <w:t>114年6月6日上半年地政士座談會決議辦理</w:t>
      </w:r>
      <w:r w:rsidRPr="00214288">
        <w:rPr>
          <w:rFonts w:ascii="標楷體" w:eastAsia="標楷體" w:hAnsi="標楷體" w:cs="新細明體" w:hint="eastAsia"/>
          <w:sz w:val="28"/>
          <w:szCs w:val="28"/>
        </w:rPr>
        <w:t>訂定「雙地政士執行業務準則」</w:t>
      </w:r>
      <w:r w:rsidRPr="00214288">
        <w:rPr>
          <w:rFonts w:ascii="標楷體" w:eastAsia="標楷體" w:hAnsi="標楷體" w:cs="新細明體"/>
          <w:sz w:val="28"/>
          <w:szCs w:val="28"/>
        </w:rPr>
        <w:t>。主</w:t>
      </w:r>
      <w:r w:rsidRPr="00214288">
        <w:rPr>
          <w:rFonts w:ascii="標楷體" w:eastAsia="標楷體" w:hAnsi="標楷體" w:cs="新細明體" w:hint="eastAsia"/>
          <w:sz w:val="28"/>
          <w:szCs w:val="28"/>
        </w:rPr>
        <w:t>要推動</w:t>
      </w:r>
      <w:r w:rsidRPr="00214288">
        <w:rPr>
          <w:rFonts w:ascii="標楷體" w:eastAsia="標楷體" w:hAnsi="標楷體" w:cs="新細明體"/>
          <w:sz w:val="28"/>
          <w:szCs w:val="28"/>
        </w:rPr>
        <w:t>：「雙主辦地政士」制度</w:t>
      </w:r>
      <w:r w:rsidRPr="00214288">
        <w:rPr>
          <w:rFonts w:ascii="標楷體" w:eastAsia="標楷體" w:hAnsi="標楷體" w:cs="新細明體" w:hint="eastAsia"/>
          <w:sz w:val="28"/>
          <w:szCs w:val="28"/>
        </w:rPr>
        <w:t>，</w:t>
      </w:r>
      <w:r w:rsidRPr="00214288">
        <w:rPr>
          <w:rFonts w:ascii="標楷體" w:eastAsia="標楷體" w:hAnsi="標楷體" w:cs="新細明體"/>
          <w:sz w:val="28"/>
          <w:szCs w:val="28"/>
        </w:rPr>
        <w:t>次</w:t>
      </w:r>
      <w:r w:rsidRPr="00214288">
        <w:rPr>
          <w:rFonts w:ascii="標楷體" w:eastAsia="標楷體" w:hAnsi="標楷體" w:cs="新細明體" w:hint="eastAsia"/>
          <w:sz w:val="28"/>
          <w:szCs w:val="28"/>
        </w:rPr>
        <w:t>要</w:t>
      </w:r>
      <w:r w:rsidRPr="00214288">
        <w:rPr>
          <w:rFonts w:ascii="標楷體" w:eastAsia="標楷體" w:hAnsi="標楷體" w:cs="新細明體"/>
          <w:sz w:val="28"/>
          <w:szCs w:val="28"/>
        </w:rPr>
        <w:t>推</w:t>
      </w:r>
      <w:r w:rsidRPr="00214288">
        <w:rPr>
          <w:rFonts w:ascii="標楷體" w:eastAsia="標楷體" w:hAnsi="標楷體" w:cs="新細明體" w:hint="eastAsia"/>
          <w:sz w:val="28"/>
          <w:szCs w:val="28"/>
        </w:rPr>
        <w:t>動</w:t>
      </w:r>
      <w:r w:rsidRPr="00214288">
        <w:rPr>
          <w:rFonts w:ascii="標楷體" w:eastAsia="標楷體" w:hAnsi="標楷體" w:cs="新細明體"/>
          <w:sz w:val="28"/>
          <w:szCs w:val="28"/>
        </w:rPr>
        <w:t>：「雙主協辦地政士」制度</w:t>
      </w:r>
      <w:r w:rsidRPr="00214288">
        <w:rPr>
          <w:rFonts w:ascii="標楷體" w:eastAsia="標楷體" w:hAnsi="標楷體" w:cs="新細明體" w:hint="eastAsia"/>
          <w:sz w:val="28"/>
          <w:szCs w:val="28"/>
        </w:rPr>
        <w:t>，以(</w:t>
      </w:r>
      <w:r w:rsidRPr="00214288">
        <w:rPr>
          <w:rFonts w:ascii="標楷體" w:eastAsia="標楷體" w:hAnsi="標楷體" w:cs="新細明體"/>
          <w:sz w:val="28"/>
          <w:szCs w:val="28"/>
        </w:rPr>
        <w:t>1</w:t>
      </w:r>
      <w:r w:rsidRPr="00214288">
        <w:rPr>
          <w:rFonts w:ascii="標楷體" w:eastAsia="標楷體" w:hAnsi="標楷體" w:cs="新細明體" w:hint="eastAsia"/>
          <w:sz w:val="28"/>
          <w:szCs w:val="28"/>
        </w:rPr>
        <w:t>)</w:t>
      </w:r>
      <w:r w:rsidRPr="00214288">
        <w:rPr>
          <w:rFonts w:ascii="標楷體" w:eastAsia="標楷體" w:hAnsi="標楷體" w:cs="新細明體"/>
          <w:sz w:val="28"/>
          <w:szCs w:val="28"/>
        </w:rPr>
        <w:t>酬勞費用相當性原則、</w:t>
      </w:r>
      <w:r w:rsidRPr="00214288">
        <w:rPr>
          <w:rFonts w:ascii="標楷體" w:eastAsia="標楷體" w:hAnsi="標楷體" w:cs="新細明體" w:hint="eastAsia"/>
          <w:sz w:val="28"/>
          <w:szCs w:val="28"/>
        </w:rPr>
        <w:t>(</w:t>
      </w:r>
      <w:r w:rsidRPr="00214288">
        <w:rPr>
          <w:rFonts w:ascii="標楷體" w:eastAsia="標楷體" w:hAnsi="標楷體" w:cs="新細明體"/>
          <w:sz w:val="28"/>
          <w:szCs w:val="28"/>
        </w:rPr>
        <w:t>2</w:t>
      </w:r>
      <w:r w:rsidRPr="00214288">
        <w:rPr>
          <w:rFonts w:ascii="標楷體" w:eastAsia="標楷體" w:hAnsi="標楷體" w:cs="新細明體" w:hint="eastAsia"/>
          <w:sz w:val="28"/>
          <w:szCs w:val="28"/>
        </w:rPr>
        <w:t>)</w:t>
      </w:r>
      <w:r w:rsidRPr="00214288">
        <w:rPr>
          <w:rFonts w:ascii="標楷體" w:eastAsia="標楷體" w:hAnsi="標楷體" w:cs="新細明體"/>
          <w:sz w:val="28"/>
          <w:szCs w:val="28"/>
        </w:rPr>
        <w:t>責任分擔共同一致性、</w:t>
      </w:r>
      <w:r w:rsidRPr="00214288">
        <w:rPr>
          <w:rFonts w:ascii="標楷體" w:eastAsia="標楷體" w:hAnsi="標楷體" w:cs="新細明體" w:hint="eastAsia"/>
          <w:sz w:val="28"/>
          <w:szCs w:val="28"/>
        </w:rPr>
        <w:t>(3)</w:t>
      </w:r>
      <w:r w:rsidRPr="00214288">
        <w:rPr>
          <w:rFonts w:ascii="標楷體" w:eastAsia="標楷體" w:hAnsi="標楷體" w:cs="新細明體"/>
          <w:sz w:val="28"/>
          <w:szCs w:val="28"/>
        </w:rPr>
        <w:t>雙方委任範圍明確性、</w:t>
      </w:r>
      <w:r w:rsidRPr="00214288">
        <w:rPr>
          <w:rFonts w:ascii="標楷體" w:eastAsia="標楷體" w:hAnsi="標楷體" w:cs="新細明體" w:hint="eastAsia"/>
          <w:sz w:val="28"/>
          <w:szCs w:val="28"/>
        </w:rPr>
        <w:t>(4)</w:t>
      </w:r>
      <w:r w:rsidRPr="00214288">
        <w:rPr>
          <w:rFonts w:ascii="標楷體" w:eastAsia="標楷體" w:hAnsi="標楷體" w:cs="新細明體"/>
          <w:sz w:val="28"/>
          <w:szCs w:val="28"/>
        </w:rPr>
        <w:t>和諧交易安全目的性、</w:t>
      </w:r>
      <w:r w:rsidRPr="00214288">
        <w:rPr>
          <w:rFonts w:ascii="標楷體" w:eastAsia="標楷體" w:hAnsi="標楷體" w:cs="新細明體" w:hint="eastAsia"/>
          <w:sz w:val="28"/>
          <w:szCs w:val="28"/>
        </w:rPr>
        <w:t>(5)</w:t>
      </w:r>
      <w:r w:rsidRPr="00214288">
        <w:rPr>
          <w:rFonts w:ascii="標楷體" w:eastAsia="標楷體" w:hAnsi="標楷體" w:cs="新細明體"/>
          <w:sz w:val="28"/>
          <w:szCs w:val="28"/>
        </w:rPr>
        <w:t>資料進度互</w:t>
      </w:r>
      <w:r w:rsidR="001511CB" w:rsidRPr="00214288">
        <w:rPr>
          <w:rFonts w:ascii="標楷體" w:eastAsia="標楷體" w:hAnsi="標楷體" w:cs="新細明體" w:hint="eastAsia"/>
          <w:sz w:val="28"/>
          <w:szCs w:val="28"/>
        </w:rPr>
        <w:t>相</w:t>
      </w:r>
      <w:r w:rsidRPr="00214288">
        <w:rPr>
          <w:rFonts w:ascii="標楷體" w:eastAsia="標楷體" w:hAnsi="標楷體" w:cs="新細明體"/>
          <w:sz w:val="28"/>
          <w:szCs w:val="28"/>
        </w:rPr>
        <w:t>制衡合作</w:t>
      </w:r>
      <w:r w:rsidRPr="00214288">
        <w:rPr>
          <w:rFonts w:ascii="標楷體" w:eastAsia="標楷體" w:hAnsi="標楷體" w:cs="新細明體" w:hint="eastAsia"/>
          <w:sz w:val="28"/>
          <w:szCs w:val="28"/>
        </w:rPr>
        <w:t>之目的</w:t>
      </w:r>
      <w:r w:rsidR="00241859">
        <w:rPr>
          <w:rFonts w:ascii="標楷體" w:eastAsia="標楷體" w:hAnsi="標楷體" w:cs="新細明體" w:hint="eastAsia"/>
          <w:sz w:val="28"/>
          <w:szCs w:val="28"/>
        </w:rPr>
        <w:t>，</w:t>
      </w:r>
      <w:r w:rsidR="00AC5C47" w:rsidRPr="00214288">
        <w:rPr>
          <w:rFonts w:ascii="標楷體" w:eastAsia="標楷體" w:hAnsi="標楷體" w:cs="新細明體" w:hint="eastAsia"/>
          <w:sz w:val="28"/>
          <w:szCs w:val="28"/>
        </w:rPr>
        <w:t>進而落實雙地政士制度功能，健全執業秩序，以確保不動產交易安全，與人民財產權益之保障。</w:t>
      </w:r>
    </w:p>
    <w:p w14:paraId="7EAFD163" w14:textId="77777777" w:rsidR="005821B0" w:rsidRPr="00214288" w:rsidRDefault="005821B0" w:rsidP="00E50B70">
      <w:pPr>
        <w:pStyle w:val="a4"/>
        <w:tabs>
          <w:tab w:val="left" w:pos="4765"/>
        </w:tabs>
        <w:ind w:left="0"/>
        <w:rPr>
          <w:rFonts w:ascii="標楷體" w:eastAsia="標楷體" w:hAnsi="標楷體"/>
          <w:spacing w:val="46"/>
        </w:rPr>
        <w:sectPr w:rsidR="005821B0" w:rsidRPr="00214288" w:rsidSect="00E50B70">
          <w:footerReference w:type="default" r:id="rId6"/>
          <w:pgSz w:w="11910" w:h="16840"/>
          <w:pgMar w:top="426" w:right="1700" w:bottom="1440" w:left="1700" w:header="0" w:footer="283" w:gutter="0"/>
          <w:cols w:space="720"/>
          <w:titlePg/>
          <w:docGrid w:linePitch="299"/>
        </w:sectPr>
      </w:pPr>
    </w:p>
    <w:p w14:paraId="770D17F8" w14:textId="33F6C85B" w:rsidR="005C6306" w:rsidRPr="00214288" w:rsidRDefault="00000000" w:rsidP="005C6306">
      <w:pPr>
        <w:pStyle w:val="a4"/>
        <w:tabs>
          <w:tab w:val="left" w:pos="4765"/>
        </w:tabs>
        <w:jc w:val="center"/>
        <w:rPr>
          <w:rFonts w:ascii="標楷體" w:eastAsia="標楷體" w:hAnsi="標楷體"/>
        </w:rPr>
      </w:pPr>
      <w:r w:rsidRPr="00214288">
        <w:rPr>
          <w:rFonts w:ascii="標楷體" w:eastAsia="標楷體" w:hAnsi="標楷體"/>
          <w:spacing w:val="46"/>
        </w:rPr>
        <w:lastRenderedPageBreak/>
        <w:t>社團法人高雄市地政士公</w:t>
      </w:r>
      <w:r w:rsidRPr="00214288">
        <w:rPr>
          <w:rFonts w:ascii="標楷體" w:eastAsia="標楷體" w:hAnsi="標楷體"/>
          <w:spacing w:val="-10"/>
        </w:rPr>
        <w:t>會</w:t>
      </w:r>
    </w:p>
    <w:p w14:paraId="16BC3093" w14:textId="5A151D2C" w:rsidR="009B487C" w:rsidRPr="00214288" w:rsidRDefault="00000000" w:rsidP="005C6306">
      <w:pPr>
        <w:pStyle w:val="a4"/>
        <w:tabs>
          <w:tab w:val="left" w:pos="4765"/>
        </w:tabs>
        <w:jc w:val="center"/>
        <w:rPr>
          <w:rFonts w:ascii="標楷體" w:eastAsia="標楷體" w:hAnsi="標楷體"/>
        </w:rPr>
      </w:pPr>
      <w:r w:rsidRPr="00214288">
        <w:rPr>
          <w:rFonts w:ascii="標楷體" w:eastAsia="標楷體" w:hAnsi="標楷體"/>
          <w:spacing w:val="46"/>
        </w:rPr>
        <w:t>雙地政士執行業務準</w:t>
      </w:r>
      <w:r w:rsidRPr="00214288">
        <w:rPr>
          <w:rFonts w:ascii="標楷體" w:eastAsia="標楷體" w:hAnsi="標楷體"/>
          <w:spacing w:val="30"/>
        </w:rPr>
        <w:t>則</w:t>
      </w:r>
    </w:p>
    <w:p w14:paraId="4CA04541" w14:textId="77777777" w:rsidR="009B487C" w:rsidRPr="00214288" w:rsidRDefault="00000000">
      <w:pPr>
        <w:spacing w:before="113"/>
        <w:ind w:left="2526"/>
        <w:rPr>
          <w:rFonts w:ascii="標楷體" w:eastAsia="標楷體" w:hAnsi="標楷體"/>
          <w:b/>
          <w:bCs/>
          <w:sz w:val="24"/>
        </w:rPr>
      </w:pPr>
      <w:r w:rsidRPr="00214288">
        <w:rPr>
          <w:rFonts w:ascii="標楷體" w:eastAsia="標楷體" w:hAnsi="標楷體"/>
          <w:b/>
          <w:bCs/>
          <w:spacing w:val="-12"/>
          <w:sz w:val="24"/>
        </w:rPr>
        <w:t xml:space="preserve">中華民國 </w:t>
      </w:r>
      <w:r w:rsidRPr="00214288">
        <w:rPr>
          <w:rFonts w:ascii="標楷體" w:eastAsia="標楷體" w:hAnsi="標楷體"/>
          <w:b/>
          <w:bCs/>
          <w:sz w:val="24"/>
        </w:rPr>
        <w:t>114</w:t>
      </w:r>
      <w:r w:rsidRPr="00214288">
        <w:rPr>
          <w:rFonts w:ascii="標楷體" w:eastAsia="標楷體" w:hAnsi="標楷體"/>
          <w:b/>
          <w:bCs/>
          <w:spacing w:val="-40"/>
          <w:sz w:val="24"/>
        </w:rPr>
        <w:t xml:space="preserve"> 年 </w:t>
      </w:r>
      <w:r w:rsidRPr="00214288">
        <w:rPr>
          <w:rFonts w:ascii="標楷體" w:eastAsia="標楷體" w:hAnsi="標楷體"/>
          <w:b/>
          <w:bCs/>
          <w:sz w:val="24"/>
        </w:rPr>
        <w:t>7</w:t>
      </w:r>
      <w:r w:rsidRPr="00214288">
        <w:rPr>
          <w:rFonts w:ascii="標楷體" w:eastAsia="標楷體" w:hAnsi="標楷體"/>
          <w:b/>
          <w:bCs/>
          <w:spacing w:val="-40"/>
          <w:sz w:val="24"/>
        </w:rPr>
        <w:t xml:space="preserve"> 月 </w:t>
      </w:r>
      <w:r w:rsidRPr="00214288">
        <w:rPr>
          <w:rFonts w:ascii="標楷體" w:eastAsia="標楷體" w:hAnsi="標楷體"/>
          <w:b/>
          <w:bCs/>
          <w:sz w:val="24"/>
        </w:rPr>
        <w:t>24</w:t>
      </w:r>
      <w:r w:rsidRPr="00214288">
        <w:rPr>
          <w:rFonts w:ascii="標楷體" w:eastAsia="標楷體" w:hAnsi="標楷體"/>
          <w:b/>
          <w:bCs/>
          <w:spacing w:val="-30"/>
          <w:sz w:val="24"/>
        </w:rPr>
        <w:t xml:space="preserve"> 日</w:t>
      </w:r>
      <w:r w:rsidRPr="00214288">
        <w:rPr>
          <w:rFonts w:ascii="標楷體" w:eastAsia="標楷體" w:hAnsi="標楷體"/>
          <w:b/>
          <w:bCs/>
          <w:spacing w:val="-12"/>
          <w:sz w:val="24"/>
        </w:rPr>
        <w:t xml:space="preserve">第八屆第 </w:t>
      </w:r>
      <w:r w:rsidRPr="00214288">
        <w:rPr>
          <w:rFonts w:ascii="標楷體" w:eastAsia="標楷體" w:hAnsi="標楷體"/>
          <w:b/>
          <w:bCs/>
          <w:sz w:val="24"/>
        </w:rPr>
        <w:t>6</w:t>
      </w:r>
      <w:r w:rsidRPr="00214288">
        <w:rPr>
          <w:rFonts w:ascii="標楷體" w:eastAsia="標楷體" w:hAnsi="標楷體"/>
          <w:b/>
          <w:bCs/>
          <w:spacing w:val="-30"/>
          <w:sz w:val="24"/>
        </w:rPr>
        <w:t xml:space="preserve"> 次</w:t>
      </w:r>
      <w:r w:rsidRPr="00214288">
        <w:rPr>
          <w:rFonts w:ascii="標楷體" w:eastAsia="標楷體" w:hAnsi="標楷體"/>
          <w:b/>
          <w:bCs/>
          <w:spacing w:val="-2"/>
          <w:sz w:val="24"/>
        </w:rPr>
        <w:t>理事會通過訂定</w:t>
      </w:r>
    </w:p>
    <w:p w14:paraId="3B8D9DE3" w14:textId="77777777" w:rsidR="009B487C" w:rsidRPr="00214288" w:rsidRDefault="00000000" w:rsidP="0027224F">
      <w:pPr>
        <w:pStyle w:val="1"/>
        <w:spacing w:before="69" w:line="480" w:lineRule="exact"/>
        <w:rPr>
          <w:rFonts w:ascii="標楷體" w:eastAsia="標楷體" w:hAnsi="標楷體"/>
        </w:rPr>
      </w:pPr>
      <w:r w:rsidRPr="00214288">
        <w:rPr>
          <w:rFonts w:ascii="標楷體" w:eastAsia="標楷體" w:hAnsi="標楷體"/>
          <w:spacing w:val="15"/>
        </w:rPr>
        <w:t>第 一 條 訂定目的：</w:t>
      </w:r>
    </w:p>
    <w:p w14:paraId="42EEEE0C" w14:textId="77777777" w:rsidR="009B487C" w:rsidRPr="00214288" w:rsidRDefault="00000000" w:rsidP="0027224F">
      <w:pPr>
        <w:pStyle w:val="a3"/>
        <w:spacing w:before="77" w:line="480" w:lineRule="exact"/>
        <w:ind w:left="1299"/>
        <w:jc w:val="both"/>
        <w:rPr>
          <w:rFonts w:ascii="標楷體" w:eastAsia="標楷體" w:hAnsi="標楷體"/>
          <w:b/>
          <w:bCs/>
        </w:rPr>
      </w:pPr>
      <w:r w:rsidRPr="00214288">
        <w:rPr>
          <w:rFonts w:ascii="標楷體" w:eastAsia="標楷體" w:hAnsi="標楷體"/>
          <w:b/>
          <w:bCs/>
          <w:spacing w:val="-2"/>
        </w:rPr>
        <w:t>為加強維護不動產交易安全，保障不動產交易之委任雙方當事人合法權益，並建立雙方當事人各自委任地政士之分工執行業務制度，特制定本準則。</w:t>
      </w:r>
    </w:p>
    <w:p w14:paraId="632F215E" w14:textId="77777777" w:rsidR="009B487C" w:rsidRPr="00214288" w:rsidRDefault="00000000" w:rsidP="0027224F">
      <w:pPr>
        <w:pStyle w:val="1"/>
        <w:spacing w:line="480" w:lineRule="exact"/>
        <w:rPr>
          <w:rFonts w:ascii="標楷體" w:eastAsia="標楷體" w:hAnsi="標楷體"/>
        </w:rPr>
      </w:pPr>
      <w:r w:rsidRPr="00214288">
        <w:rPr>
          <w:rFonts w:ascii="標楷體" w:eastAsia="標楷體" w:hAnsi="標楷體"/>
          <w:spacing w:val="15"/>
        </w:rPr>
        <w:t>第 二 條 執行態度：</w:t>
      </w:r>
    </w:p>
    <w:p w14:paraId="221FF947" w14:textId="0E6D6662" w:rsidR="009B487C" w:rsidRPr="00214288" w:rsidRDefault="00000000" w:rsidP="0027224F">
      <w:pPr>
        <w:pStyle w:val="a3"/>
        <w:spacing w:before="79" w:line="480" w:lineRule="exact"/>
        <w:ind w:left="1299" w:right="207"/>
        <w:jc w:val="both"/>
        <w:rPr>
          <w:rFonts w:ascii="標楷體" w:eastAsia="標楷體" w:hAnsi="標楷體"/>
          <w:b/>
          <w:bCs/>
        </w:rPr>
      </w:pPr>
      <w:r w:rsidRPr="00214288">
        <w:rPr>
          <w:rFonts w:ascii="標楷體" w:eastAsia="標楷體" w:hAnsi="標楷體"/>
          <w:b/>
          <w:bCs/>
          <w:spacing w:val="-2"/>
        </w:rPr>
        <w:t>交易雙方各自委任之地政士，於執行業務時應遵守地政士法及地政士倫理規範，並以不動產交易安全為重，秉持專業誠信原則，互信合作及公正執行業務。對於法令適用、作業方式，應理性協商</w:t>
      </w:r>
      <w:r w:rsidR="00B51DC1" w:rsidRPr="00214288">
        <w:rPr>
          <w:rFonts w:ascii="標楷體" w:eastAsia="標楷體" w:hAnsi="標楷體" w:hint="eastAsia"/>
          <w:b/>
          <w:bCs/>
          <w:spacing w:val="-2"/>
        </w:rPr>
        <w:t>並</w:t>
      </w:r>
      <w:r w:rsidRPr="00214288">
        <w:rPr>
          <w:rFonts w:ascii="標楷體" w:eastAsia="標楷體" w:hAnsi="標楷體"/>
          <w:b/>
          <w:bCs/>
          <w:spacing w:val="-2"/>
        </w:rPr>
        <w:t>溝通</w:t>
      </w:r>
      <w:r w:rsidR="00B51DC1" w:rsidRPr="00214288">
        <w:rPr>
          <w:rFonts w:ascii="標楷體" w:eastAsia="標楷體" w:hAnsi="標楷體" w:hint="eastAsia"/>
          <w:b/>
          <w:bCs/>
          <w:spacing w:val="-2"/>
        </w:rPr>
        <w:t>、</w:t>
      </w:r>
      <w:r w:rsidR="00B51DC1" w:rsidRPr="00214288">
        <w:rPr>
          <w:rFonts w:ascii="標楷體" w:eastAsia="標楷體" w:hAnsi="標楷體"/>
          <w:b/>
          <w:bCs/>
          <w:spacing w:val="-2"/>
        </w:rPr>
        <w:t>交換</w:t>
      </w:r>
      <w:r w:rsidRPr="00214288">
        <w:rPr>
          <w:rFonts w:ascii="標楷體" w:eastAsia="標楷體" w:hAnsi="標楷體"/>
          <w:b/>
          <w:bCs/>
          <w:spacing w:val="-2"/>
        </w:rPr>
        <w:t>意見達成共識，共同維護地政士職業尊嚴與榮譽。</w:t>
      </w:r>
    </w:p>
    <w:p w14:paraId="3FAAE25F" w14:textId="77777777" w:rsidR="009B487C" w:rsidRPr="00214288" w:rsidRDefault="00000000" w:rsidP="0027224F">
      <w:pPr>
        <w:pStyle w:val="1"/>
        <w:spacing w:line="480" w:lineRule="exact"/>
        <w:rPr>
          <w:rFonts w:ascii="標楷體" w:eastAsia="標楷體" w:hAnsi="標楷體"/>
        </w:rPr>
      </w:pPr>
      <w:r w:rsidRPr="00214288">
        <w:rPr>
          <w:rFonts w:ascii="標楷體" w:eastAsia="標楷體" w:hAnsi="標楷體"/>
          <w:spacing w:val="15"/>
        </w:rPr>
        <w:t>第 三 條 用辭定義：</w:t>
      </w:r>
    </w:p>
    <w:p w14:paraId="19BB3E97" w14:textId="77777777" w:rsidR="009B487C" w:rsidRPr="00214288" w:rsidRDefault="00000000" w:rsidP="0027224F">
      <w:pPr>
        <w:pStyle w:val="a3"/>
        <w:spacing w:before="79" w:line="480" w:lineRule="exact"/>
        <w:ind w:left="1300" w:right="0"/>
        <w:rPr>
          <w:rFonts w:ascii="標楷體" w:eastAsia="標楷體" w:hAnsi="標楷體"/>
          <w:b/>
          <w:bCs/>
        </w:rPr>
      </w:pPr>
      <w:r w:rsidRPr="00214288">
        <w:rPr>
          <w:rFonts w:ascii="標楷體" w:eastAsia="標楷體" w:hAnsi="標楷體"/>
          <w:b/>
          <w:bCs/>
          <w:spacing w:val="-3"/>
        </w:rPr>
        <w:t>本規範用辭定義如下：</w:t>
      </w:r>
    </w:p>
    <w:p w14:paraId="3F5CE5CC" w14:textId="77777777" w:rsidR="009B487C" w:rsidRPr="00214288" w:rsidRDefault="00000000" w:rsidP="0027224F">
      <w:pPr>
        <w:pStyle w:val="a3"/>
        <w:spacing w:before="140" w:line="480" w:lineRule="exact"/>
        <w:ind w:left="1859" w:right="203" w:hanging="560"/>
        <w:rPr>
          <w:rFonts w:ascii="標楷體" w:eastAsia="標楷體" w:hAnsi="標楷體"/>
          <w:b/>
          <w:bCs/>
        </w:rPr>
      </w:pPr>
      <w:r w:rsidRPr="00214288">
        <w:rPr>
          <w:rFonts w:ascii="標楷體" w:eastAsia="標楷體" w:hAnsi="標楷體"/>
          <w:b/>
          <w:bCs/>
          <w:spacing w:val="-2"/>
        </w:rPr>
        <w:t>一、不動產交易：指以契約為基礎之不動產交易，如買 賣、交換、共有物分割或涉及其他權利移轉、變更或設定負擔等。</w:t>
      </w:r>
    </w:p>
    <w:p w14:paraId="69E88CC3" w14:textId="77777777" w:rsidR="009B487C" w:rsidRPr="00214288" w:rsidRDefault="00000000" w:rsidP="0027224F">
      <w:pPr>
        <w:pStyle w:val="a3"/>
        <w:spacing w:line="480" w:lineRule="exact"/>
        <w:ind w:left="1859" w:right="203" w:hanging="560"/>
        <w:rPr>
          <w:rFonts w:ascii="標楷體" w:eastAsia="標楷體" w:hAnsi="標楷體"/>
          <w:b/>
          <w:bCs/>
        </w:rPr>
      </w:pPr>
      <w:r w:rsidRPr="00214288">
        <w:rPr>
          <w:rFonts w:ascii="標楷體" w:eastAsia="標楷體" w:hAnsi="標楷體"/>
          <w:b/>
          <w:bCs/>
          <w:spacing w:val="-2"/>
        </w:rPr>
        <w:t>二、雙地政士：指不動產交易案件之當事人為雙方或多 方，同時各自委任</w:t>
      </w:r>
      <w:r w:rsidRPr="00214288">
        <w:rPr>
          <w:rFonts w:ascii="標楷體" w:eastAsia="標楷體" w:hAnsi="標楷體"/>
          <w:b/>
          <w:bCs/>
          <w:spacing w:val="-3"/>
        </w:rPr>
        <w:t>地政士執行業務，合力完成案件。</w:t>
      </w:r>
    </w:p>
    <w:p w14:paraId="196D03E3" w14:textId="77777777" w:rsidR="009B487C" w:rsidRPr="00214288" w:rsidRDefault="00000000" w:rsidP="0027224F">
      <w:pPr>
        <w:pStyle w:val="a3"/>
        <w:spacing w:line="480" w:lineRule="exact"/>
        <w:ind w:left="1859" w:right="205" w:hanging="560"/>
        <w:rPr>
          <w:rFonts w:ascii="標楷體" w:eastAsia="標楷體" w:hAnsi="標楷體"/>
          <w:b/>
          <w:bCs/>
        </w:rPr>
      </w:pPr>
      <w:r w:rsidRPr="00214288">
        <w:rPr>
          <w:rFonts w:ascii="標楷體" w:eastAsia="標楷體" w:hAnsi="標楷體"/>
          <w:b/>
          <w:bCs/>
          <w:spacing w:val="-2"/>
        </w:rPr>
        <w:t>三、雙主辦地政士：指不動產交易時，交易雙方委任人各自委任主辦交易相關事宜之地政士。</w:t>
      </w:r>
    </w:p>
    <w:p w14:paraId="768C7E61" w14:textId="7161DFAB" w:rsidR="009B487C" w:rsidRPr="00214288" w:rsidRDefault="00000000" w:rsidP="0027224F">
      <w:pPr>
        <w:pStyle w:val="a3"/>
        <w:spacing w:before="1" w:line="480" w:lineRule="exact"/>
        <w:ind w:left="1799" w:right="263"/>
        <w:rPr>
          <w:rFonts w:ascii="標楷體" w:eastAsia="標楷體" w:hAnsi="標楷體"/>
          <w:b/>
          <w:bCs/>
        </w:rPr>
      </w:pPr>
      <w:r w:rsidRPr="00214288">
        <w:rPr>
          <w:rFonts w:ascii="標楷體" w:eastAsia="標楷體" w:hAnsi="標楷體"/>
          <w:b/>
          <w:bCs/>
          <w:spacing w:val="-2"/>
        </w:rPr>
        <w:t>交易雙方地政士主辦事項，以買賣為例，賣方委任地政士應主辦產權調查、身分核對、撰寫私契約</w:t>
      </w:r>
      <w:r w:rsidR="00CB7DD8" w:rsidRPr="00214288">
        <w:rPr>
          <w:rFonts w:ascii="標楷體" w:eastAsia="標楷體" w:hAnsi="標楷體" w:hint="eastAsia"/>
          <w:b/>
          <w:bCs/>
          <w:spacing w:val="-2"/>
        </w:rPr>
        <w:t>、核章用印</w:t>
      </w:r>
      <w:r w:rsidRPr="00214288">
        <w:rPr>
          <w:rFonts w:ascii="標楷體" w:eastAsia="標楷體" w:hAnsi="標楷體"/>
          <w:b/>
          <w:bCs/>
          <w:spacing w:val="-2"/>
        </w:rPr>
        <w:t>、賣方證件之保管與交付、控管履約、申請塗銷抵押權登記等事項；買方委任地政士應主辦產權調 查、身分核對</w:t>
      </w:r>
      <w:r w:rsidR="00CB7DD8" w:rsidRPr="00214288">
        <w:rPr>
          <w:rFonts w:ascii="標楷體" w:eastAsia="標楷體" w:hAnsi="標楷體"/>
          <w:b/>
          <w:bCs/>
          <w:spacing w:val="-2"/>
        </w:rPr>
        <w:t>、撰寫私契約</w:t>
      </w:r>
      <w:r w:rsidRPr="00214288">
        <w:rPr>
          <w:rFonts w:ascii="標楷體" w:eastAsia="標楷體" w:hAnsi="標楷體"/>
          <w:b/>
          <w:bCs/>
          <w:spacing w:val="-2"/>
        </w:rPr>
        <w:t>、撰寫公契約、核章用印、買方證件之</w:t>
      </w:r>
      <w:r w:rsidRPr="00214288">
        <w:rPr>
          <w:rFonts w:ascii="標楷體" w:eastAsia="標楷體" w:hAnsi="標楷體"/>
          <w:b/>
          <w:bCs/>
          <w:spacing w:val="-3"/>
        </w:rPr>
        <w:t>保管與交付、控管履約、申報稅捐、申請</w:t>
      </w:r>
      <w:r w:rsidRPr="00214288">
        <w:rPr>
          <w:rFonts w:ascii="標楷體" w:eastAsia="標楷體" w:hAnsi="標楷體"/>
          <w:b/>
          <w:bCs/>
          <w:spacing w:val="-3"/>
        </w:rPr>
        <w:lastRenderedPageBreak/>
        <w:t>設定抵押權</w:t>
      </w:r>
      <w:r w:rsidRPr="00214288">
        <w:rPr>
          <w:rFonts w:ascii="標楷體" w:eastAsia="標楷體" w:hAnsi="標楷體"/>
          <w:b/>
          <w:bCs/>
          <w:spacing w:val="-2"/>
        </w:rPr>
        <w:t>登記、實價登錄等事項。申請登記應由交易雙方主辦地政士會同辦理送件。</w:t>
      </w:r>
      <w:r w:rsidR="00CB7DD8" w:rsidRPr="00214288">
        <w:rPr>
          <w:rFonts w:ascii="標楷體" w:eastAsia="標楷體" w:hAnsi="標楷體" w:hint="eastAsia"/>
          <w:b/>
          <w:bCs/>
          <w:spacing w:val="-2"/>
        </w:rPr>
        <w:t>但其中</w:t>
      </w:r>
      <w:r w:rsidR="00CB7DD8" w:rsidRPr="00214288">
        <w:rPr>
          <w:rFonts w:ascii="標楷體" w:eastAsia="標楷體" w:hAnsi="標楷體"/>
          <w:b/>
          <w:bCs/>
          <w:spacing w:val="-2"/>
        </w:rPr>
        <w:t>撰寫公契約</w:t>
      </w:r>
      <w:r w:rsidR="00CB7DD8" w:rsidRPr="00214288">
        <w:rPr>
          <w:rFonts w:ascii="標楷體" w:eastAsia="標楷體" w:hAnsi="標楷體" w:hint="eastAsia"/>
          <w:b/>
          <w:bCs/>
          <w:spacing w:val="-2"/>
        </w:rPr>
        <w:t>、</w:t>
      </w:r>
      <w:r w:rsidR="00CB7DD8" w:rsidRPr="00214288">
        <w:rPr>
          <w:rFonts w:ascii="標楷體" w:eastAsia="標楷體" w:hAnsi="標楷體"/>
          <w:b/>
          <w:bCs/>
          <w:spacing w:val="-3"/>
        </w:rPr>
        <w:t>申報稅捐</w:t>
      </w:r>
      <w:r w:rsidR="00CB7DD8" w:rsidRPr="00214288">
        <w:rPr>
          <w:rFonts w:ascii="標楷體" w:eastAsia="標楷體" w:hAnsi="標楷體" w:hint="eastAsia"/>
          <w:b/>
          <w:bCs/>
          <w:spacing w:val="-3"/>
        </w:rPr>
        <w:t>及</w:t>
      </w:r>
      <w:r w:rsidR="00CB7DD8" w:rsidRPr="00214288">
        <w:rPr>
          <w:rFonts w:ascii="標楷體" w:eastAsia="標楷體" w:hAnsi="標楷體"/>
          <w:b/>
          <w:bCs/>
          <w:spacing w:val="-2"/>
        </w:rPr>
        <w:t>實價登錄</w:t>
      </w:r>
      <w:r w:rsidR="0071052A" w:rsidRPr="00214288">
        <w:rPr>
          <w:rFonts w:ascii="標楷體" w:eastAsia="標楷體" w:hAnsi="標楷體" w:hint="eastAsia"/>
          <w:b/>
          <w:bCs/>
          <w:spacing w:val="-2"/>
        </w:rPr>
        <w:t>等</w:t>
      </w:r>
      <w:r w:rsidR="00CB7DD8" w:rsidRPr="00214288">
        <w:rPr>
          <w:rFonts w:ascii="標楷體" w:eastAsia="標楷體" w:hAnsi="標楷體" w:hint="eastAsia"/>
          <w:b/>
          <w:bCs/>
          <w:spacing w:val="-2"/>
        </w:rPr>
        <w:t>項目之主辦職責</w:t>
      </w:r>
      <w:r w:rsidR="0071052A" w:rsidRPr="00214288">
        <w:rPr>
          <w:rFonts w:ascii="標楷體" w:eastAsia="標楷體" w:hAnsi="標楷體" w:hint="eastAsia"/>
          <w:b/>
          <w:bCs/>
          <w:spacing w:val="-2"/>
        </w:rPr>
        <w:t>，</w:t>
      </w:r>
      <w:r w:rsidR="00CB7DD8" w:rsidRPr="00214288">
        <w:rPr>
          <w:rFonts w:ascii="標楷體" w:eastAsia="標楷體" w:hAnsi="標楷體" w:hint="eastAsia"/>
          <w:b/>
          <w:bCs/>
          <w:spacing w:val="-2"/>
        </w:rPr>
        <w:t>如契約另有約定者，從其約定。</w:t>
      </w:r>
    </w:p>
    <w:p w14:paraId="06D9422F" w14:textId="77777777" w:rsidR="009B487C" w:rsidRPr="00214288" w:rsidRDefault="00000000" w:rsidP="0027224F">
      <w:pPr>
        <w:pStyle w:val="a3"/>
        <w:spacing w:line="480" w:lineRule="exact"/>
        <w:ind w:left="1859" w:right="203" w:hanging="560"/>
        <w:jc w:val="both"/>
        <w:rPr>
          <w:rFonts w:ascii="標楷體" w:eastAsia="標楷體" w:hAnsi="標楷體"/>
          <w:b/>
          <w:bCs/>
        </w:rPr>
      </w:pPr>
      <w:r w:rsidRPr="00214288">
        <w:rPr>
          <w:rFonts w:ascii="標楷體" w:eastAsia="標楷體" w:hAnsi="標楷體"/>
          <w:b/>
          <w:bCs/>
          <w:spacing w:val="-2"/>
        </w:rPr>
        <w:t>四、主辦地政士：指不動產交易時，主辦交易相關事宜之地政士。主辦事項，以買賣為例，如產權調查、撰寫契約、核章用印、證件之保管與交付、申報稅捐、申請登記、實價登錄、控管履約等事項。</w:t>
      </w:r>
    </w:p>
    <w:p w14:paraId="57CCAAC3" w14:textId="77777777" w:rsidR="009B487C" w:rsidRPr="00214288" w:rsidRDefault="00000000" w:rsidP="0027224F">
      <w:pPr>
        <w:pStyle w:val="a3"/>
        <w:spacing w:line="480" w:lineRule="exact"/>
        <w:ind w:left="1859" w:right="203" w:hanging="560"/>
        <w:jc w:val="both"/>
        <w:rPr>
          <w:rFonts w:ascii="標楷體" w:eastAsia="標楷體" w:hAnsi="標楷體"/>
          <w:b/>
          <w:bCs/>
        </w:rPr>
      </w:pPr>
      <w:r w:rsidRPr="00214288">
        <w:rPr>
          <w:rFonts w:ascii="標楷體" w:eastAsia="標楷體" w:hAnsi="標楷體"/>
          <w:b/>
          <w:bCs/>
          <w:spacing w:val="-2"/>
        </w:rPr>
        <w:t>五、協辦地政士：依其委任人之指示，秉其專業，進行查調及確認產權、參與契約撰擬及修訂、證件之保管與交付、追蹤查核案件，並協助溝通及監督程序之地政</w:t>
      </w:r>
      <w:r w:rsidRPr="00214288">
        <w:rPr>
          <w:rFonts w:ascii="標楷體" w:eastAsia="標楷體" w:hAnsi="標楷體"/>
          <w:b/>
          <w:bCs/>
          <w:spacing w:val="-6"/>
        </w:rPr>
        <w:t>士。</w:t>
      </w:r>
    </w:p>
    <w:p w14:paraId="61BFE2B0" w14:textId="77777777" w:rsidR="009B487C" w:rsidRPr="00214288" w:rsidRDefault="00000000" w:rsidP="0027224F">
      <w:pPr>
        <w:pStyle w:val="1"/>
        <w:spacing w:line="480" w:lineRule="exact"/>
        <w:rPr>
          <w:rFonts w:ascii="標楷體" w:eastAsia="標楷體" w:hAnsi="標楷體"/>
        </w:rPr>
      </w:pPr>
      <w:r w:rsidRPr="00214288">
        <w:rPr>
          <w:rFonts w:ascii="標楷體" w:eastAsia="標楷體" w:hAnsi="標楷體"/>
          <w:spacing w:val="15"/>
        </w:rPr>
        <w:t>第 四 條 當事人權益</w:t>
      </w:r>
    </w:p>
    <w:p w14:paraId="196870B4" w14:textId="1343A274" w:rsidR="009B487C" w:rsidRPr="00214288" w:rsidRDefault="00000000" w:rsidP="0027224F">
      <w:pPr>
        <w:pStyle w:val="a3"/>
        <w:spacing w:before="79" w:line="480" w:lineRule="exact"/>
        <w:ind w:left="1300" w:right="484"/>
        <w:rPr>
          <w:rFonts w:ascii="標楷體" w:eastAsia="標楷體" w:hAnsi="標楷體"/>
          <w:b/>
          <w:bCs/>
        </w:rPr>
      </w:pPr>
      <w:r w:rsidRPr="00214288">
        <w:rPr>
          <w:rFonts w:ascii="標楷體" w:eastAsia="標楷體" w:hAnsi="標楷體"/>
          <w:b/>
          <w:bCs/>
          <w:spacing w:val="-2"/>
        </w:rPr>
        <w:t>當事人各自委任之地政士，不論</w:t>
      </w:r>
      <w:r w:rsidR="00CB7DD8" w:rsidRPr="00214288">
        <w:rPr>
          <w:rFonts w:ascii="標楷體" w:eastAsia="標楷體" w:hAnsi="標楷體" w:hint="eastAsia"/>
          <w:b/>
          <w:bCs/>
          <w:spacing w:val="-2"/>
        </w:rPr>
        <w:t>雙</w:t>
      </w:r>
      <w:r w:rsidRPr="00214288">
        <w:rPr>
          <w:rFonts w:ascii="標楷體" w:eastAsia="標楷體" w:hAnsi="標楷體"/>
          <w:b/>
          <w:bCs/>
          <w:spacing w:val="-2"/>
        </w:rPr>
        <w:t>主辦地政士或</w:t>
      </w:r>
      <w:r w:rsidR="00CB7DD8" w:rsidRPr="00214288">
        <w:rPr>
          <w:rFonts w:ascii="標楷體" w:eastAsia="標楷體" w:hAnsi="標楷體" w:hint="eastAsia"/>
          <w:b/>
          <w:bCs/>
          <w:spacing w:val="-2"/>
        </w:rPr>
        <w:t>主</w:t>
      </w:r>
      <w:r w:rsidRPr="00214288">
        <w:rPr>
          <w:rFonts w:ascii="標楷體" w:eastAsia="標楷體" w:hAnsi="標楷體"/>
          <w:b/>
          <w:bCs/>
          <w:spacing w:val="-2"/>
        </w:rPr>
        <w:t>協辦地政士，應彼此接納、尊重、合作，不得任意拒絕或杯葛</w:t>
      </w:r>
      <w:r w:rsidRPr="00214288">
        <w:rPr>
          <w:rFonts w:ascii="標楷體" w:eastAsia="標楷體" w:hAnsi="標楷體"/>
          <w:b/>
          <w:bCs/>
          <w:spacing w:val="-10"/>
        </w:rPr>
        <w:t>。</w:t>
      </w:r>
    </w:p>
    <w:p w14:paraId="56B8590B" w14:textId="77777777" w:rsidR="009B487C" w:rsidRPr="00214288" w:rsidRDefault="00000000" w:rsidP="0027224F">
      <w:pPr>
        <w:pStyle w:val="1"/>
        <w:spacing w:line="480" w:lineRule="exact"/>
        <w:rPr>
          <w:rFonts w:ascii="標楷體" w:eastAsia="標楷體" w:hAnsi="標楷體"/>
        </w:rPr>
      </w:pPr>
      <w:r w:rsidRPr="00214288">
        <w:rPr>
          <w:rFonts w:ascii="標楷體" w:eastAsia="標楷體" w:hAnsi="標楷體"/>
          <w:spacing w:val="17"/>
        </w:rPr>
        <w:t>第 五 條 禁止事項</w:t>
      </w:r>
    </w:p>
    <w:p w14:paraId="793CE8EA" w14:textId="77777777" w:rsidR="009B487C" w:rsidRPr="00214288" w:rsidRDefault="00000000" w:rsidP="0027224F">
      <w:pPr>
        <w:pStyle w:val="a3"/>
        <w:spacing w:before="79" w:line="480" w:lineRule="exact"/>
        <w:ind w:left="1300"/>
        <w:rPr>
          <w:rFonts w:ascii="標楷體" w:eastAsia="標楷體" w:hAnsi="標楷體"/>
          <w:b/>
          <w:bCs/>
        </w:rPr>
      </w:pPr>
      <w:r w:rsidRPr="00214288">
        <w:rPr>
          <w:rFonts w:ascii="標楷體" w:eastAsia="標楷體" w:hAnsi="標楷體"/>
          <w:b/>
          <w:bCs/>
          <w:spacing w:val="-2"/>
        </w:rPr>
        <w:t>雙地政士執行業務時，應遵循地政士法及相關規定，並不得有下列行為:</w:t>
      </w:r>
    </w:p>
    <w:p w14:paraId="30C044C2" w14:textId="7B1F1DF4" w:rsidR="009B487C" w:rsidRPr="00214288" w:rsidRDefault="00000000" w:rsidP="0027224F">
      <w:pPr>
        <w:pStyle w:val="a3"/>
        <w:spacing w:before="2" w:line="480" w:lineRule="exact"/>
        <w:ind w:left="1300" w:right="484"/>
        <w:rPr>
          <w:rFonts w:ascii="標楷體" w:eastAsia="標楷體" w:hAnsi="標楷體"/>
          <w:b/>
          <w:bCs/>
        </w:rPr>
      </w:pPr>
      <w:r w:rsidRPr="00214288">
        <w:rPr>
          <w:rFonts w:ascii="標楷體" w:eastAsia="標楷體" w:hAnsi="標楷體"/>
          <w:b/>
          <w:bCs/>
          <w:spacing w:val="-2"/>
        </w:rPr>
        <w:t>一、故意</w:t>
      </w:r>
      <w:r w:rsidR="007F0C6B" w:rsidRPr="00214288">
        <w:rPr>
          <w:rFonts w:ascii="標楷體" w:eastAsia="標楷體" w:hAnsi="標楷體" w:hint="eastAsia"/>
          <w:b/>
          <w:bCs/>
          <w:spacing w:val="-2"/>
        </w:rPr>
        <w:t>蒙蔽</w:t>
      </w:r>
      <w:r w:rsidRPr="00214288">
        <w:rPr>
          <w:rFonts w:ascii="標楷體" w:eastAsia="標楷體" w:hAnsi="標楷體"/>
          <w:b/>
          <w:bCs/>
          <w:spacing w:val="-2"/>
        </w:rPr>
        <w:t>、欺罔或使當事人產生錯誤認知之行為。二、偽造、變造或故意使用不實之證明文件或資料。 三、違反地政士倫理規範之行為。</w:t>
      </w:r>
    </w:p>
    <w:p w14:paraId="5B1A81BE" w14:textId="77777777" w:rsidR="009B487C" w:rsidRPr="00214288" w:rsidRDefault="00000000" w:rsidP="0027224F">
      <w:pPr>
        <w:pStyle w:val="1"/>
        <w:spacing w:line="480" w:lineRule="exact"/>
        <w:rPr>
          <w:rFonts w:ascii="標楷體" w:eastAsia="標楷體" w:hAnsi="標楷體"/>
        </w:rPr>
      </w:pPr>
      <w:r w:rsidRPr="00214288">
        <w:rPr>
          <w:rFonts w:ascii="標楷體" w:eastAsia="標楷體" w:hAnsi="標楷體"/>
          <w:spacing w:val="15"/>
        </w:rPr>
        <w:t>第 六 條 補正、駁回</w:t>
      </w:r>
    </w:p>
    <w:p w14:paraId="22F049DD" w14:textId="77777777" w:rsidR="009B487C" w:rsidRPr="00214288" w:rsidRDefault="00000000" w:rsidP="0027224F">
      <w:pPr>
        <w:pStyle w:val="a3"/>
        <w:spacing w:before="79" w:line="480" w:lineRule="exact"/>
        <w:ind w:left="1299" w:right="207"/>
        <w:jc w:val="both"/>
        <w:rPr>
          <w:rFonts w:ascii="標楷體" w:eastAsia="標楷體" w:hAnsi="標楷體"/>
          <w:b/>
          <w:bCs/>
        </w:rPr>
      </w:pPr>
      <w:r w:rsidRPr="00214288">
        <w:rPr>
          <w:rFonts w:ascii="標楷體" w:eastAsia="標楷體" w:hAnsi="標楷體"/>
          <w:b/>
          <w:bCs/>
          <w:spacing w:val="-2"/>
        </w:rPr>
        <w:t>雙地政士應就主管機關補正、駁回案件，共同協助向當事人說明，並分別負責與各自委任人溝通，配合提出相關補正資料，協調完成補正及駁回善後事宜。</w:t>
      </w:r>
    </w:p>
    <w:p w14:paraId="774E7614" w14:textId="77777777" w:rsidR="009B487C" w:rsidRPr="00214288" w:rsidRDefault="00000000" w:rsidP="0027224F">
      <w:pPr>
        <w:pStyle w:val="1"/>
        <w:spacing w:line="480" w:lineRule="exact"/>
        <w:rPr>
          <w:rFonts w:ascii="標楷體" w:eastAsia="標楷體" w:hAnsi="標楷體"/>
        </w:rPr>
      </w:pPr>
      <w:r w:rsidRPr="00214288">
        <w:rPr>
          <w:rFonts w:ascii="標楷體" w:eastAsia="標楷體" w:hAnsi="標楷體"/>
          <w:spacing w:val="13"/>
        </w:rPr>
        <w:t>第 七 條 執行業務收費</w:t>
      </w:r>
    </w:p>
    <w:p w14:paraId="1814D275" w14:textId="77777777" w:rsidR="009B487C" w:rsidRPr="00214288" w:rsidRDefault="00000000" w:rsidP="0027224F">
      <w:pPr>
        <w:pStyle w:val="a3"/>
        <w:spacing w:before="77" w:line="480" w:lineRule="exact"/>
        <w:ind w:left="1299"/>
        <w:rPr>
          <w:rFonts w:ascii="標楷體" w:eastAsia="標楷體" w:hAnsi="標楷體"/>
          <w:b/>
          <w:bCs/>
        </w:rPr>
      </w:pPr>
      <w:r w:rsidRPr="00214288">
        <w:rPr>
          <w:rFonts w:ascii="標楷體" w:eastAsia="標楷體" w:hAnsi="標楷體"/>
          <w:b/>
          <w:bCs/>
          <w:spacing w:val="-2"/>
        </w:rPr>
        <w:t>雙地政士執行業務收費，由雙主辦、主協辦地政士依據各</w:t>
      </w:r>
      <w:r w:rsidRPr="00214288">
        <w:rPr>
          <w:rFonts w:ascii="標楷體" w:eastAsia="標楷體" w:hAnsi="標楷體"/>
          <w:b/>
          <w:bCs/>
          <w:spacing w:val="-2"/>
        </w:rPr>
        <w:lastRenderedPageBreak/>
        <w:t>自之委任事項內容逕向各委任人明示酬金數額並逕行收 取，不得相互干預執行業務之收費標準、收取方式。</w:t>
      </w:r>
    </w:p>
    <w:p w14:paraId="67D13A2A" w14:textId="77777777" w:rsidR="009B487C" w:rsidRPr="00214288" w:rsidRDefault="00000000" w:rsidP="0027224F">
      <w:pPr>
        <w:pStyle w:val="1"/>
        <w:spacing w:line="480" w:lineRule="exact"/>
        <w:rPr>
          <w:rFonts w:ascii="標楷體" w:eastAsia="標楷體" w:hAnsi="標楷體"/>
        </w:rPr>
      </w:pPr>
      <w:r w:rsidRPr="00214288">
        <w:rPr>
          <w:rFonts w:ascii="標楷體" w:eastAsia="標楷體" w:hAnsi="標楷體"/>
          <w:spacing w:val="17"/>
        </w:rPr>
        <w:t>第 八 條 逾越規定</w:t>
      </w:r>
    </w:p>
    <w:p w14:paraId="60B14149" w14:textId="38DC8151" w:rsidR="009B487C" w:rsidRPr="00214288" w:rsidRDefault="00FD0F6C" w:rsidP="0027224F">
      <w:pPr>
        <w:pStyle w:val="a3"/>
        <w:spacing w:before="80" w:line="480" w:lineRule="exact"/>
        <w:ind w:right="204" w:hanging="559"/>
        <w:rPr>
          <w:rFonts w:ascii="標楷體" w:eastAsia="標楷體" w:hAnsi="標楷體"/>
          <w:b/>
          <w:bCs/>
          <w:spacing w:val="-2"/>
        </w:rPr>
      </w:pPr>
      <w:r w:rsidRPr="00214288">
        <w:rPr>
          <w:rFonts w:ascii="標楷體" w:eastAsia="標楷體" w:hAnsi="標楷體"/>
          <w:b/>
          <w:bCs/>
          <w:spacing w:val="-2"/>
        </w:rPr>
        <w:t>一、</w:t>
      </w:r>
      <w:r w:rsidRPr="00214288">
        <w:rPr>
          <w:rFonts w:ascii="標楷體" w:eastAsia="標楷體" w:hAnsi="標楷體" w:hint="eastAsia"/>
          <w:b/>
          <w:bCs/>
          <w:spacing w:val="-2"/>
        </w:rPr>
        <w:t>雙主辦地政士：</w:t>
      </w:r>
      <w:r w:rsidRPr="00214288">
        <w:rPr>
          <w:rFonts w:ascii="標楷體" w:eastAsia="標楷體" w:hAnsi="標楷體"/>
          <w:b/>
          <w:bCs/>
          <w:spacing w:val="-2"/>
        </w:rPr>
        <w:t>任一主辦地政士有逾越契約約定範圍，致損害交易相對人權益之虞時，經另一方主辦地政士提醒卻仍執意為之，應即告知交易相對人出面制止之。</w:t>
      </w:r>
    </w:p>
    <w:p w14:paraId="0B227A2B" w14:textId="2D18D78C" w:rsidR="009B487C" w:rsidRPr="00214288" w:rsidRDefault="00FD0F6C" w:rsidP="0027224F">
      <w:pPr>
        <w:pStyle w:val="a3"/>
        <w:spacing w:before="80" w:line="480" w:lineRule="exact"/>
        <w:ind w:right="204" w:hanging="559"/>
        <w:rPr>
          <w:rFonts w:ascii="標楷體" w:eastAsia="標楷體" w:hAnsi="標楷體"/>
          <w:b/>
          <w:bCs/>
          <w:spacing w:val="-2"/>
        </w:rPr>
      </w:pPr>
      <w:r w:rsidRPr="00214288">
        <w:rPr>
          <w:rFonts w:ascii="標楷體" w:eastAsia="標楷體" w:hAnsi="標楷體"/>
          <w:b/>
          <w:bCs/>
          <w:spacing w:val="-2"/>
        </w:rPr>
        <w:t>二、</w:t>
      </w:r>
      <w:r w:rsidRPr="00214288">
        <w:rPr>
          <w:rFonts w:ascii="標楷體" w:eastAsia="標楷體" w:hAnsi="標楷體" w:hint="eastAsia"/>
          <w:b/>
          <w:bCs/>
          <w:spacing w:val="-2"/>
        </w:rPr>
        <w:t>主協辦地政士：</w:t>
      </w:r>
      <w:r w:rsidRPr="00214288">
        <w:rPr>
          <w:rFonts w:ascii="標楷體" w:eastAsia="標楷體" w:hAnsi="標楷體"/>
          <w:b/>
          <w:bCs/>
          <w:spacing w:val="-2"/>
        </w:rPr>
        <w:t>主辦地政士逾越契約約定範圍，致損害交易相對人權益之虞時，經協辦地政士提醒卻仍執意為之，協辦地政士應即告知交易相對人出面制止之。</w:t>
      </w:r>
    </w:p>
    <w:p w14:paraId="44B585A2" w14:textId="77777777" w:rsidR="009B487C" w:rsidRPr="00214288" w:rsidRDefault="00000000" w:rsidP="0027224F">
      <w:pPr>
        <w:pStyle w:val="1"/>
        <w:spacing w:line="480" w:lineRule="exact"/>
        <w:rPr>
          <w:rFonts w:ascii="標楷體" w:eastAsia="標楷體" w:hAnsi="標楷體"/>
        </w:rPr>
      </w:pPr>
      <w:r w:rsidRPr="00214288">
        <w:rPr>
          <w:rFonts w:ascii="標楷體" w:eastAsia="標楷體" w:hAnsi="標楷體"/>
          <w:spacing w:val="7"/>
        </w:rPr>
        <w:t>第 九 條 買賣不動產交易應注意事項</w:t>
      </w:r>
    </w:p>
    <w:p w14:paraId="02D472AB" w14:textId="77777777" w:rsidR="009B487C" w:rsidRPr="00214288" w:rsidRDefault="00000000" w:rsidP="0027224F">
      <w:pPr>
        <w:pStyle w:val="a3"/>
        <w:spacing w:before="80" w:line="480" w:lineRule="exact"/>
        <w:ind w:right="204" w:hanging="559"/>
        <w:rPr>
          <w:rFonts w:ascii="標楷體" w:eastAsia="標楷體" w:hAnsi="標楷體"/>
          <w:b/>
          <w:bCs/>
        </w:rPr>
      </w:pPr>
      <w:r w:rsidRPr="00214288">
        <w:rPr>
          <w:rFonts w:ascii="標楷體" w:eastAsia="標楷體" w:hAnsi="標楷體"/>
          <w:b/>
          <w:bCs/>
          <w:spacing w:val="-2"/>
        </w:rPr>
        <w:t>一、不動產買賣契約書應協議載明本案雙地政士之執行業務方式(例如雙主辦地政士或主協辦地政士)，並記載交易雙方各自委任之地政士姓名。雙地政士於簽約 前，應依買賣雙方要求，共同審閱並協同擬訂買賣契約條款，確保買賣雙方公平條件及權益。</w:t>
      </w:r>
    </w:p>
    <w:p w14:paraId="2B3FC34B" w14:textId="77777777" w:rsidR="009B487C" w:rsidRPr="00214288" w:rsidRDefault="00000000" w:rsidP="0027224F">
      <w:pPr>
        <w:pStyle w:val="a3"/>
        <w:spacing w:before="5" w:line="480" w:lineRule="exact"/>
        <w:ind w:hanging="560"/>
        <w:rPr>
          <w:rFonts w:ascii="標楷體" w:eastAsia="標楷體" w:hAnsi="標楷體"/>
          <w:b/>
          <w:bCs/>
        </w:rPr>
      </w:pPr>
      <w:r w:rsidRPr="00214288">
        <w:rPr>
          <w:rFonts w:ascii="標楷體" w:eastAsia="標楷體" w:hAnsi="標楷體"/>
          <w:b/>
          <w:bCs/>
          <w:spacing w:val="-2"/>
        </w:rPr>
        <w:t>二、應審慎檢視交易當事人有無行為能力或有無合法代理</w:t>
      </w:r>
      <w:r w:rsidRPr="00214288">
        <w:rPr>
          <w:rFonts w:ascii="標楷體" w:eastAsia="標楷體" w:hAnsi="標楷體"/>
          <w:b/>
          <w:bCs/>
          <w:spacing w:val="-6"/>
        </w:rPr>
        <w:t>權。</w:t>
      </w:r>
    </w:p>
    <w:p w14:paraId="4833DE6D" w14:textId="77777777" w:rsidR="009B487C" w:rsidRPr="00214288" w:rsidRDefault="00000000" w:rsidP="0027224F">
      <w:pPr>
        <w:pStyle w:val="a3"/>
        <w:spacing w:before="0" w:line="480" w:lineRule="exact"/>
        <w:ind w:left="1299" w:right="0"/>
        <w:rPr>
          <w:rFonts w:ascii="標楷體" w:eastAsia="標楷體" w:hAnsi="標楷體"/>
          <w:b/>
          <w:bCs/>
        </w:rPr>
      </w:pPr>
      <w:r w:rsidRPr="00214288">
        <w:rPr>
          <w:rFonts w:ascii="標楷體" w:eastAsia="標楷體" w:hAnsi="標楷體"/>
          <w:b/>
          <w:bCs/>
          <w:spacing w:val="-2"/>
        </w:rPr>
        <w:t>三、檢查交易標的有無權利瑕疵或其他法律限制</w:t>
      </w:r>
      <w:r w:rsidRPr="00214288">
        <w:rPr>
          <w:rFonts w:ascii="標楷體" w:eastAsia="標楷體" w:hAnsi="標楷體"/>
          <w:b/>
          <w:bCs/>
          <w:spacing w:val="-10"/>
        </w:rPr>
        <w:t>。</w:t>
      </w:r>
    </w:p>
    <w:p w14:paraId="08E8E5B3" w14:textId="77777777" w:rsidR="009B487C" w:rsidRPr="00214288" w:rsidRDefault="00000000" w:rsidP="0027224F">
      <w:pPr>
        <w:pStyle w:val="a3"/>
        <w:spacing w:before="140" w:line="480" w:lineRule="exact"/>
        <w:ind w:hanging="560"/>
        <w:rPr>
          <w:rFonts w:ascii="標楷體" w:eastAsia="標楷體" w:hAnsi="標楷體"/>
          <w:b/>
          <w:bCs/>
        </w:rPr>
      </w:pPr>
      <w:r w:rsidRPr="00214288">
        <w:rPr>
          <w:rFonts w:ascii="標楷體" w:eastAsia="標楷體" w:hAnsi="標楷體"/>
          <w:b/>
          <w:bCs/>
          <w:spacing w:val="-2"/>
        </w:rPr>
        <w:t>四、簽約時應由雙地政士申請當日最新登記簿謄本，確保產權無異動或被限制登記。</w:t>
      </w:r>
    </w:p>
    <w:p w14:paraId="69C0BF4B" w14:textId="0BA2FF9A" w:rsidR="009B487C" w:rsidRPr="00214288" w:rsidRDefault="00000000" w:rsidP="0027224F">
      <w:pPr>
        <w:pStyle w:val="a3"/>
        <w:spacing w:before="0" w:line="480" w:lineRule="exact"/>
        <w:ind w:right="204" w:hanging="560"/>
        <w:rPr>
          <w:rFonts w:ascii="標楷體" w:eastAsia="標楷體" w:hAnsi="標楷體"/>
          <w:b/>
          <w:bCs/>
        </w:rPr>
      </w:pPr>
      <w:r w:rsidRPr="00214288">
        <w:rPr>
          <w:rFonts w:ascii="標楷體" w:eastAsia="標楷體" w:hAnsi="標楷體"/>
          <w:b/>
          <w:bCs/>
          <w:spacing w:val="-2"/>
        </w:rPr>
        <w:t>五、付款方式應符合安全原則，並斟酌買方開具與尾款同額的本票之必要。如有委託銀行或建經公司價金保 管，應促請主辦地政士協助將</w:t>
      </w:r>
      <w:r w:rsidR="00D04C9A" w:rsidRPr="00214288">
        <w:rPr>
          <w:rFonts w:ascii="標楷體" w:eastAsia="標楷體" w:hAnsi="標楷體"/>
          <w:b/>
          <w:bCs/>
          <w:spacing w:val="-2"/>
        </w:rPr>
        <w:t>銀行價金信託或</w:t>
      </w:r>
      <w:r w:rsidRPr="00214288">
        <w:rPr>
          <w:rFonts w:ascii="標楷體" w:eastAsia="標楷體" w:hAnsi="標楷體"/>
          <w:b/>
          <w:bCs/>
          <w:spacing w:val="-2"/>
        </w:rPr>
        <w:t>建經公司</w:t>
      </w:r>
      <w:r w:rsidR="007F3B0B" w:rsidRPr="00214288">
        <w:rPr>
          <w:rFonts w:ascii="標楷體" w:eastAsia="標楷體" w:hAnsi="標楷體" w:hint="eastAsia"/>
          <w:b/>
          <w:bCs/>
          <w:spacing w:val="-2"/>
        </w:rPr>
        <w:t>受託信託財產</w:t>
      </w:r>
      <w:r w:rsidR="00D04C9A" w:rsidRPr="00214288">
        <w:rPr>
          <w:rFonts w:ascii="標楷體" w:eastAsia="標楷體" w:hAnsi="標楷體" w:hint="eastAsia"/>
          <w:b/>
          <w:bCs/>
          <w:spacing w:val="-2"/>
        </w:rPr>
        <w:t>專戶</w:t>
      </w:r>
      <w:r w:rsidRPr="00214288">
        <w:rPr>
          <w:rFonts w:ascii="標楷體" w:eastAsia="標楷體" w:hAnsi="標楷體"/>
          <w:b/>
          <w:bCs/>
          <w:spacing w:val="-2"/>
        </w:rPr>
        <w:t>出入款項之簡訊，同時通知另一主辦地政士或協辦</w:t>
      </w:r>
      <w:r w:rsidRPr="00214288">
        <w:rPr>
          <w:rFonts w:ascii="標楷體" w:eastAsia="標楷體" w:hAnsi="標楷體"/>
          <w:b/>
          <w:bCs/>
          <w:spacing w:val="-4"/>
        </w:rPr>
        <w:t>地政士。</w:t>
      </w:r>
    </w:p>
    <w:p w14:paraId="22779416" w14:textId="77777777" w:rsidR="009B487C" w:rsidRPr="00214288" w:rsidRDefault="00000000" w:rsidP="0027224F">
      <w:pPr>
        <w:pStyle w:val="a3"/>
        <w:spacing w:line="480" w:lineRule="exact"/>
        <w:ind w:left="1857" w:right="204" w:hanging="560"/>
        <w:jc w:val="both"/>
        <w:rPr>
          <w:rFonts w:ascii="標楷體" w:eastAsia="標楷體" w:hAnsi="標楷體"/>
          <w:b/>
          <w:bCs/>
        </w:rPr>
      </w:pPr>
      <w:r w:rsidRPr="00214288">
        <w:rPr>
          <w:rFonts w:ascii="標楷體" w:eastAsia="標楷體" w:hAnsi="標楷體"/>
          <w:b/>
          <w:bCs/>
          <w:spacing w:val="-2"/>
        </w:rPr>
        <w:t>六、由賣方地政士保管賣方之印鑑證明書正本及權利書狀正本，並簽收文件保管收據。但契約另有約定者，從</w:t>
      </w:r>
      <w:r w:rsidRPr="00214288">
        <w:rPr>
          <w:rFonts w:ascii="標楷體" w:eastAsia="標楷體" w:hAnsi="標楷體"/>
          <w:b/>
          <w:bCs/>
          <w:spacing w:val="-4"/>
        </w:rPr>
        <w:t>其約定。</w:t>
      </w:r>
    </w:p>
    <w:p w14:paraId="7A768463" w14:textId="170E84DD" w:rsidR="009B487C" w:rsidRPr="00214288" w:rsidRDefault="00000000" w:rsidP="0027224F">
      <w:pPr>
        <w:pStyle w:val="a3"/>
        <w:spacing w:before="9" w:line="480" w:lineRule="exact"/>
        <w:ind w:right="203" w:hanging="560"/>
        <w:jc w:val="both"/>
        <w:rPr>
          <w:rFonts w:ascii="標楷體" w:eastAsia="標楷體" w:hAnsi="標楷體"/>
          <w:b/>
          <w:bCs/>
          <w:spacing w:val="-2"/>
        </w:rPr>
      </w:pPr>
      <w:r w:rsidRPr="00214288">
        <w:rPr>
          <w:rFonts w:ascii="標楷體" w:eastAsia="標楷體" w:hAnsi="標楷體"/>
          <w:b/>
          <w:bCs/>
          <w:spacing w:val="-2"/>
        </w:rPr>
        <w:lastRenderedPageBreak/>
        <w:t>七、買賣過戶案件及貸款設定案件應連件辦理，買方以金融機構貸款支付買賣價款時，經買賣雙方及雙地政士確認貸款無誤時，買方與登記名義人應於完稅款時共同簽發與尾款同額，且註明賣方為受款人及「禁止背書轉讓」之本票壹張予賣方，以作為尾款給付之擔 保。該張本票賣方同意交由賣方地政士代為保管，並於買方付清尾款時交還買方。若買方未依約給付尾款，該張本票賣方有權取回，以執行權利。</w:t>
      </w:r>
    </w:p>
    <w:p w14:paraId="2FC1C1B4" w14:textId="77777777" w:rsidR="009B487C" w:rsidRPr="00214288" w:rsidRDefault="00000000" w:rsidP="0027224F">
      <w:pPr>
        <w:pStyle w:val="a3"/>
        <w:spacing w:before="9" w:line="480" w:lineRule="exact"/>
        <w:ind w:right="203" w:hanging="560"/>
        <w:jc w:val="both"/>
        <w:rPr>
          <w:rFonts w:ascii="標楷體" w:eastAsia="標楷體" w:hAnsi="標楷體"/>
          <w:b/>
          <w:bCs/>
        </w:rPr>
      </w:pPr>
      <w:r w:rsidRPr="00214288">
        <w:rPr>
          <w:rFonts w:ascii="標楷體" w:eastAsia="標楷體" w:hAnsi="標楷體"/>
          <w:b/>
          <w:bCs/>
          <w:spacing w:val="-2"/>
        </w:rPr>
        <w:t>八、對買賣雙方詳細解說相關法令、稅務與費用關係，務必使買賣雙方皆能了解依法相關稅捐及規費負擔義務人；若雙方另有約定稅務與費用者，從其約定。</w:t>
      </w:r>
    </w:p>
    <w:p w14:paraId="3730D40F" w14:textId="77777777" w:rsidR="009B487C" w:rsidRPr="00214288" w:rsidRDefault="00000000" w:rsidP="0027224F">
      <w:pPr>
        <w:pStyle w:val="a3"/>
        <w:spacing w:line="480" w:lineRule="exact"/>
        <w:ind w:hanging="560"/>
        <w:rPr>
          <w:rFonts w:ascii="標楷體" w:eastAsia="標楷體" w:hAnsi="標楷體"/>
          <w:b/>
          <w:bCs/>
        </w:rPr>
      </w:pPr>
      <w:r w:rsidRPr="00214288">
        <w:rPr>
          <w:rFonts w:ascii="標楷體" w:eastAsia="標楷體" w:hAnsi="標楷體"/>
          <w:b/>
          <w:bCs/>
          <w:spacing w:val="-2"/>
        </w:rPr>
        <w:t>九、詳細講解違約罰則之約定內容及其他約定事項或因個案性質之注意事項。</w:t>
      </w:r>
    </w:p>
    <w:p w14:paraId="674409BB" w14:textId="77777777" w:rsidR="009B487C" w:rsidRPr="00214288" w:rsidRDefault="00000000" w:rsidP="0027224F">
      <w:pPr>
        <w:pStyle w:val="a3"/>
        <w:spacing w:before="0" w:line="480" w:lineRule="exact"/>
        <w:ind w:hanging="560"/>
        <w:rPr>
          <w:rFonts w:ascii="標楷體" w:eastAsia="標楷體" w:hAnsi="標楷體"/>
          <w:b/>
          <w:bCs/>
        </w:rPr>
      </w:pPr>
      <w:r w:rsidRPr="00214288">
        <w:rPr>
          <w:rFonts w:ascii="標楷體" w:eastAsia="標楷體" w:hAnsi="標楷體"/>
          <w:b/>
          <w:bCs/>
          <w:spacing w:val="-2"/>
        </w:rPr>
        <w:t>十、若透過不動產經紀業者，經紀業者及經紀人應於契約</w:t>
      </w:r>
      <w:r w:rsidRPr="00214288">
        <w:rPr>
          <w:rFonts w:ascii="標楷體" w:eastAsia="標楷體" w:hAnsi="標楷體"/>
          <w:b/>
          <w:bCs/>
          <w:spacing w:val="-4"/>
        </w:rPr>
        <w:t>上簽章。</w:t>
      </w:r>
    </w:p>
    <w:p w14:paraId="3836334F" w14:textId="77777777" w:rsidR="009B487C" w:rsidRPr="00214288" w:rsidRDefault="00000000" w:rsidP="0027224F">
      <w:pPr>
        <w:pStyle w:val="a3"/>
        <w:spacing w:before="0" w:line="480" w:lineRule="exact"/>
        <w:ind w:hanging="560"/>
        <w:rPr>
          <w:rFonts w:ascii="標楷體" w:eastAsia="標楷體" w:hAnsi="標楷體"/>
          <w:b/>
          <w:bCs/>
        </w:rPr>
      </w:pPr>
      <w:r w:rsidRPr="00214288">
        <w:rPr>
          <w:rFonts w:ascii="標楷體" w:eastAsia="標楷體" w:hAnsi="標楷體"/>
          <w:b/>
          <w:bCs/>
          <w:spacing w:val="-2"/>
        </w:rPr>
        <w:t>十一、登記完畢時，應申請最新個人登記簿謄本，並確認產權登記正確無誤。</w:t>
      </w:r>
    </w:p>
    <w:p w14:paraId="125B3884" w14:textId="77777777" w:rsidR="009B487C" w:rsidRPr="00214288" w:rsidRDefault="00000000" w:rsidP="0027224F">
      <w:pPr>
        <w:pStyle w:val="a3"/>
        <w:spacing w:before="1" w:line="480" w:lineRule="exact"/>
        <w:ind w:right="204" w:hanging="560"/>
        <w:rPr>
          <w:rFonts w:ascii="標楷體" w:eastAsia="標楷體" w:hAnsi="標楷體"/>
          <w:b/>
          <w:bCs/>
        </w:rPr>
      </w:pPr>
      <w:r w:rsidRPr="00214288">
        <w:rPr>
          <w:rFonts w:ascii="標楷體" w:eastAsia="標楷體" w:hAnsi="標楷體"/>
          <w:b/>
          <w:bCs/>
          <w:spacing w:val="-2"/>
        </w:rPr>
        <w:t>十二、權利人、義務人有紛爭時，雙地政士應協助處理溝通，若仍無法達成協議，權利人或義務人得聲請調 解、調處或仲裁，雙地政士得視個案處理情形另外收</w:t>
      </w:r>
      <w:r w:rsidRPr="00214288">
        <w:rPr>
          <w:rFonts w:ascii="標楷體" w:eastAsia="標楷體" w:hAnsi="標楷體"/>
          <w:b/>
          <w:bCs/>
          <w:spacing w:val="-6"/>
        </w:rPr>
        <w:t>費。</w:t>
      </w:r>
    </w:p>
    <w:p w14:paraId="52FD6ACE" w14:textId="6D6A29FE" w:rsidR="009B487C" w:rsidRPr="00214288" w:rsidRDefault="00000000" w:rsidP="0027224F">
      <w:pPr>
        <w:autoSpaceDE/>
        <w:autoSpaceDN/>
        <w:spacing w:line="480" w:lineRule="exact"/>
        <w:ind w:left="1261" w:hangingChars="450" w:hanging="1261"/>
        <w:rPr>
          <w:rFonts w:ascii="標楷體" w:eastAsia="標楷體" w:hAnsi="標楷體" w:cstheme="minorBidi"/>
          <w:b/>
          <w:bCs/>
          <w:kern w:val="2"/>
          <w:sz w:val="28"/>
          <w:szCs w:val="28"/>
          <w14:ligatures w14:val="standardContextual"/>
        </w:rPr>
      </w:pPr>
      <w:r w:rsidRPr="00214288">
        <w:rPr>
          <w:rFonts w:ascii="標楷體" w:eastAsia="標楷體" w:hAnsi="標楷體" w:cstheme="minorBidi"/>
          <w:b/>
          <w:bCs/>
          <w:kern w:val="2"/>
          <w:sz w:val="28"/>
          <w:szCs w:val="28"/>
          <w14:ligatures w14:val="standardContextual"/>
        </w:rPr>
        <w:t>第 十 條 地政士違反本準則之行為，得由其所屬地政士公會協調處置；情節重大者，得移送所屬地政士公會紀律委員會</w:t>
      </w:r>
      <w:r w:rsidR="00BA7441" w:rsidRPr="00214288">
        <w:rPr>
          <w:rFonts w:ascii="標楷體" w:eastAsia="標楷體" w:hAnsi="標楷體" w:cstheme="minorBidi" w:hint="eastAsia"/>
          <w:b/>
          <w:bCs/>
          <w:kern w:val="2"/>
          <w:sz w:val="28"/>
          <w:szCs w:val="28"/>
          <w14:ligatures w14:val="standardContextual"/>
        </w:rPr>
        <w:t>決議後</w:t>
      </w:r>
      <w:r w:rsidR="00FC6A0F" w:rsidRPr="00214288">
        <w:rPr>
          <w:rFonts w:ascii="標楷體" w:eastAsia="標楷體" w:hAnsi="標楷體" w:cstheme="minorBidi" w:hint="eastAsia"/>
          <w:b/>
          <w:bCs/>
          <w:kern w:val="2"/>
          <w:sz w:val="28"/>
          <w:szCs w:val="28"/>
          <w14:ligatures w14:val="standardContextual"/>
        </w:rPr>
        <w:t>，</w:t>
      </w:r>
      <w:r w:rsidRPr="00214288">
        <w:rPr>
          <w:rFonts w:ascii="標楷體" w:eastAsia="標楷體" w:hAnsi="標楷體" w:cstheme="minorBidi"/>
          <w:b/>
          <w:bCs/>
          <w:kern w:val="2"/>
          <w:sz w:val="28"/>
          <w:szCs w:val="28"/>
          <w14:ligatures w14:val="standardContextual"/>
        </w:rPr>
        <w:t>經公會報請地政局依法懲處。</w:t>
      </w:r>
    </w:p>
    <w:p w14:paraId="5EF733EE" w14:textId="178390B4" w:rsidR="009B487C" w:rsidRPr="00214288" w:rsidRDefault="00000000" w:rsidP="0027224F">
      <w:pPr>
        <w:autoSpaceDE/>
        <w:autoSpaceDN/>
        <w:spacing w:line="480" w:lineRule="exact"/>
        <w:ind w:left="1261" w:hangingChars="450" w:hanging="1261"/>
        <w:rPr>
          <w:rFonts w:ascii="標楷體" w:eastAsia="標楷體" w:hAnsi="標楷體" w:cstheme="minorBidi"/>
          <w:b/>
          <w:bCs/>
          <w:kern w:val="2"/>
          <w:sz w:val="28"/>
          <w:szCs w:val="28"/>
          <w14:ligatures w14:val="standardContextual"/>
        </w:rPr>
      </w:pPr>
      <w:r w:rsidRPr="00214288">
        <w:rPr>
          <w:rFonts w:ascii="標楷體" w:eastAsia="標楷體" w:hAnsi="標楷體" w:cstheme="minorBidi"/>
          <w:b/>
          <w:bCs/>
          <w:kern w:val="2"/>
          <w:sz w:val="28"/>
          <w:szCs w:val="28"/>
          <w14:ligatures w14:val="standardContextual"/>
        </w:rPr>
        <w:t>第十一條 本準則經社團法人高雄市地政士公會理事會通過，並</w:t>
      </w:r>
      <w:r w:rsidR="00505C31" w:rsidRPr="00214288">
        <w:rPr>
          <w:rFonts w:ascii="標楷體" w:eastAsia="標楷體" w:hAnsi="標楷體" w:cstheme="minorBidi" w:hint="eastAsia"/>
          <w:b/>
          <w:bCs/>
          <w:kern w:val="2"/>
          <w:sz w:val="28"/>
          <w:szCs w:val="28"/>
          <w14:ligatures w14:val="standardContextual"/>
        </w:rPr>
        <w:t>報請</w:t>
      </w:r>
      <w:r w:rsidRPr="00214288">
        <w:rPr>
          <w:rFonts w:ascii="標楷體" w:eastAsia="標楷體" w:hAnsi="標楷體" w:cstheme="minorBidi"/>
          <w:b/>
          <w:bCs/>
          <w:kern w:val="2"/>
          <w:sz w:val="28"/>
          <w:szCs w:val="28"/>
          <w14:ligatures w14:val="standardContextual"/>
        </w:rPr>
        <w:t>地政局備查後施行，修正時亦同。</w:t>
      </w:r>
    </w:p>
    <w:sectPr w:rsidR="009B487C" w:rsidRPr="00214288" w:rsidSect="00026D38">
      <w:footerReference w:type="default" r:id="rId7"/>
      <w:pgSz w:w="11910" w:h="16840"/>
      <w:pgMar w:top="1520" w:right="1700" w:bottom="1440" w:left="1700" w:header="0" w:footer="85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F28F" w14:textId="77777777" w:rsidR="00863DD9" w:rsidRDefault="00863DD9">
      <w:r>
        <w:separator/>
      </w:r>
    </w:p>
  </w:endnote>
  <w:endnote w:type="continuationSeparator" w:id="0">
    <w:p w14:paraId="1C658B06" w14:textId="77777777" w:rsidR="00863DD9" w:rsidRDefault="0086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17580"/>
      <w:docPartObj>
        <w:docPartGallery w:val="Page Numbers (Bottom of Page)"/>
        <w:docPartUnique/>
      </w:docPartObj>
    </w:sdtPr>
    <w:sdtContent>
      <w:p w14:paraId="0A25597C" w14:textId="0A447A38" w:rsidR="00026D38" w:rsidRDefault="00026D38">
        <w:pPr>
          <w:pStyle w:val="a9"/>
        </w:pPr>
        <w:r>
          <w:fldChar w:fldCharType="begin"/>
        </w:r>
        <w:r>
          <w:instrText>PAGE   \* MERGEFORMAT</w:instrText>
        </w:r>
        <w:r>
          <w:fldChar w:fldCharType="separate"/>
        </w:r>
        <w:r>
          <w:rPr>
            <w:lang w:val="zh-TW"/>
          </w:rPr>
          <w:t>2</w:t>
        </w:r>
        <w:r>
          <w:fldChar w:fldCharType="end"/>
        </w:r>
      </w:p>
    </w:sdtContent>
  </w:sdt>
  <w:p w14:paraId="3667483E" w14:textId="265C09F5" w:rsidR="009B487C" w:rsidRDefault="009B487C">
    <w:pPr>
      <w:pStyle w:val="a3"/>
      <w:spacing w:before="0" w:line="14" w:lineRule="auto"/>
      <w:ind w:left="0" w:righ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912960"/>
      <w:docPartObj>
        <w:docPartGallery w:val="Page Numbers (Bottom of Page)"/>
        <w:docPartUnique/>
      </w:docPartObj>
    </w:sdtPr>
    <w:sdtEndPr>
      <w:rPr>
        <w:rFonts w:ascii="標楷體" w:eastAsia="標楷體" w:hAnsi="標楷體"/>
      </w:rPr>
    </w:sdtEndPr>
    <w:sdtContent>
      <w:p w14:paraId="030574CF" w14:textId="770AD9E1" w:rsidR="00026D38" w:rsidRPr="00026D38" w:rsidRDefault="00026D38" w:rsidP="00026D38">
        <w:pPr>
          <w:pStyle w:val="a9"/>
          <w:jc w:val="center"/>
          <w:rPr>
            <w:rFonts w:ascii="標楷體" w:eastAsia="標楷體" w:hAnsi="標楷體"/>
          </w:rPr>
        </w:pPr>
        <w:r w:rsidRPr="00026D38">
          <w:rPr>
            <w:rFonts w:ascii="標楷體" w:eastAsia="標楷體" w:hAnsi="標楷體" w:hint="eastAsia"/>
          </w:rPr>
          <w:t>第</w:t>
        </w:r>
        <w:r w:rsidRPr="00026D38">
          <w:rPr>
            <w:rFonts w:ascii="標楷體" w:eastAsia="標楷體" w:hAnsi="標楷體"/>
          </w:rPr>
          <w:fldChar w:fldCharType="begin"/>
        </w:r>
        <w:r w:rsidRPr="00026D38">
          <w:rPr>
            <w:rFonts w:ascii="標楷體" w:eastAsia="標楷體" w:hAnsi="標楷體"/>
          </w:rPr>
          <w:instrText>PAGE   \* MERGEFORMAT</w:instrText>
        </w:r>
        <w:r w:rsidRPr="00026D38">
          <w:rPr>
            <w:rFonts w:ascii="標楷體" w:eastAsia="標楷體" w:hAnsi="標楷體"/>
          </w:rPr>
          <w:fldChar w:fldCharType="separate"/>
        </w:r>
        <w:r w:rsidRPr="00026D38">
          <w:rPr>
            <w:rFonts w:ascii="標楷體" w:eastAsia="標楷體" w:hAnsi="標楷體"/>
            <w:lang w:val="zh-TW"/>
          </w:rPr>
          <w:t>2</w:t>
        </w:r>
        <w:r w:rsidRPr="00026D38">
          <w:rPr>
            <w:rFonts w:ascii="標楷體" w:eastAsia="標楷體" w:hAnsi="標楷體"/>
          </w:rPr>
          <w:fldChar w:fldCharType="end"/>
        </w:r>
        <w:r w:rsidRPr="00026D38">
          <w:rPr>
            <w:rFonts w:ascii="標楷體" w:eastAsia="標楷體" w:hAnsi="標楷體" w:hint="eastAsia"/>
          </w:rPr>
          <w:t>頁/共4頁</w:t>
        </w:r>
      </w:p>
    </w:sdtContent>
  </w:sdt>
  <w:p w14:paraId="035ECA8C" w14:textId="77777777" w:rsidR="00026D38" w:rsidRDefault="00026D38">
    <w:pPr>
      <w:pStyle w:val="a3"/>
      <w:spacing w:before="0" w:line="14" w:lineRule="auto"/>
      <w:ind w:left="0" w:righ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2582" w14:textId="77777777" w:rsidR="00863DD9" w:rsidRDefault="00863DD9">
      <w:r>
        <w:separator/>
      </w:r>
    </w:p>
  </w:footnote>
  <w:footnote w:type="continuationSeparator" w:id="0">
    <w:p w14:paraId="2555BAFC" w14:textId="77777777" w:rsidR="00863DD9" w:rsidRDefault="00863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B487C"/>
    <w:rsid w:val="000041ED"/>
    <w:rsid w:val="00026D38"/>
    <w:rsid w:val="00071552"/>
    <w:rsid w:val="000B7E3E"/>
    <w:rsid w:val="000D3F5E"/>
    <w:rsid w:val="001171D3"/>
    <w:rsid w:val="00134778"/>
    <w:rsid w:val="00140F7F"/>
    <w:rsid w:val="001511CB"/>
    <w:rsid w:val="00193D40"/>
    <w:rsid w:val="001A050E"/>
    <w:rsid w:val="001F4358"/>
    <w:rsid w:val="00214288"/>
    <w:rsid w:val="00217C75"/>
    <w:rsid w:val="0023532B"/>
    <w:rsid w:val="00241859"/>
    <w:rsid w:val="0027224F"/>
    <w:rsid w:val="0031375A"/>
    <w:rsid w:val="003748BE"/>
    <w:rsid w:val="003A2DFD"/>
    <w:rsid w:val="0040045A"/>
    <w:rsid w:val="0048711B"/>
    <w:rsid w:val="004B416E"/>
    <w:rsid w:val="00505C31"/>
    <w:rsid w:val="0051230C"/>
    <w:rsid w:val="005821B0"/>
    <w:rsid w:val="005C6306"/>
    <w:rsid w:val="006702CE"/>
    <w:rsid w:val="00670493"/>
    <w:rsid w:val="00692EC0"/>
    <w:rsid w:val="006C17C2"/>
    <w:rsid w:val="006F44B4"/>
    <w:rsid w:val="0071052A"/>
    <w:rsid w:val="00751379"/>
    <w:rsid w:val="007571AC"/>
    <w:rsid w:val="00775CC4"/>
    <w:rsid w:val="007805F1"/>
    <w:rsid w:val="007F0C6B"/>
    <w:rsid w:val="007F3B0B"/>
    <w:rsid w:val="007F506B"/>
    <w:rsid w:val="00821798"/>
    <w:rsid w:val="00863DD9"/>
    <w:rsid w:val="00870414"/>
    <w:rsid w:val="0097025B"/>
    <w:rsid w:val="009B487C"/>
    <w:rsid w:val="00AA40ED"/>
    <w:rsid w:val="00AA7170"/>
    <w:rsid w:val="00AC5C47"/>
    <w:rsid w:val="00AD5028"/>
    <w:rsid w:val="00B11ABA"/>
    <w:rsid w:val="00B51DC1"/>
    <w:rsid w:val="00B647C5"/>
    <w:rsid w:val="00B670D9"/>
    <w:rsid w:val="00BA7441"/>
    <w:rsid w:val="00CB7DD8"/>
    <w:rsid w:val="00D04C9A"/>
    <w:rsid w:val="00D06E39"/>
    <w:rsid w:val="00D45392"/>
    <w:rsid w:val="00DB2A50"/>
    <w:rsid w:val="00E50B70"/>
    <w:rsid w:val="00F01A50"/>
    <w:rsid w:val="00FC6A0F"/>
    <w:rsid w:val="00FD0F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AC981"/>
  <w15:docId w15:val="{55541361-FB6D-413A-881C-96BD49E7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426" w:lineRule="exact"/>
      <w:ind w:left="100"/>
      <w:outlineLvl w:val="0"/>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1858" w:right="206"/>
    </w:pPr>
    <w:rPr>
      <w:sz w:val="28"/>
      <w:szCs w:val="28"/>
    </w:rPr>
  </w:style>
  <w:style w:type="paragraph" w:styleId="a4">
    <w:name w:val="Title"/>
    <w:basedOn w:val="a"/>
    <w:link w:val="a5"/>
    <w:uiPriority w:val="10"/>
    <w:qFormat/>
    <w:pPr>
      <w:spacing w:line="500" w:lineRule="exact"/>
      <w:ind w:left="100"/>
    </w:pPr>
    <w:rPr>
      <w:rFonts w:ascii="微軟正黑體" w:eastAsia="微軟正黑體" w:hAnsi="微軟正黑體" w:cs="微軟正黑體"/>
      <w:b/>
      <w:bCs/>
      <w:sz w:val="32"/>
      <w:szCs w:val="32"/>
    </w:rPr>
  </w:style>
  <w:style w:type="paragraph" w:styleId="a6">
    <w:name w:val="List Paragraph"/>
    <w:basedOn w:val="a"/>
    <w:uiPriority w:val="1"/>
    <w:qFormat/>
  </w:style>
  <w:style w:type="paragraph" w:customStyle="1" w:styleId="TableParagraph">
    <w:name w:val="Table Paragraph"/>
    <w:basedOn w:val="a"/>
    <w:uiPriority w:val="1"/>
    <w:qFormat/>
  </w:style>
  <w:style w:type="paragraph" w:styleId="a7">
    <w:name w:val="header"/>
    <w:basedOn w:val="a"/>
    <w:link w:val="a8"/>
    <w:uiPriority w:val="99"/>
    <w:unhideWhenUsed/>
    <w:rsid w:val="00670493"/>
    <w:pPr>
      <w:tabs>
        <w:tab w:val="center" w:pos="4153"/>
        <w:tab w:val="right" w:pos="8306"/>
      </w:tabs>
      <w:snapToGrid w:val="0"/>
    </w:pPr>
    <w:rPr>
      <w:sz w:val="20"/>
      <w:szCs w:val="20"/>
    </w:rPr>
  </w:style>
  <w:style w:type="character" w:customStyle="1" w:styleId="a8">
    <w:name w:val="頁首 字元"/>
    <w:basedOn w:val="a0"/>
    <w:link w:val="a7"/>
    <w:uiPriority w:val="99"/>
    <w:rsid w:val="00670493"/>
    <w:rPr>
      <w:rFonts w:ascii="SimSun" w:eastAsia="SimSun" w:hAnsi="SimSun" w:cs="SimSun"/>
      <w:sz w:val="20"/>
      <w:szCs w:val="20"/>
      <w:lang w:eastAsia="zh-TW"/>
    </w:rPr>
  </w:style>
  <w:style w:type="paragraph" w:styleId="a9">
    <w:name w:val="footer"/>
    <w:basedOn w:val="a"/>
    <w:link w:val="aa"/>
    <w:uiPriority w:val="99"/>
    <w:unhideWhenUsed/>
    <w:rsid w:val="00670493"/>
    <w:pPr>
      <w:tabs>
        <w:tab w:val="center" w:pos="4153"/>
        <w:tab w:val="right" w:pos="8306"/>
      </w:tabs>
      <w:snapToGrid w:val="0"/>
    </w:pPr>
    <w:rPr>
      <w:sz w:val="20"/>
      <w:szCs w:val="20"/>
    </w:rPr>
  </w:style>
  <w:style w:type="character" w:customStyle="1" w:styleId="aa">
    <w:name w:val="頁尾 字元"/>
    <w:basedOn w:val="a0"/>
    <w:link w:val="a9"/>
    <w:uiPriority w:val="99"/>
    <w:rsid w:val="00670493"/>
    <w:rPr>
      <w:rFonts w:ascii="SimSun" w:eastAsia="SimSun" w:hAnsi="SimSun" w:cs="SimSun"/>
      <w:sz w:val="20"/>
      <w:szCs w:val="20"/>
      <w:lang w:eastAsia="zh-TW"/>
    </w:rPr>
  </w:style>
  <w:style w:type="character" w:customStyle="1" w:styleId="a5">
    <w:name w:val="標題 字元"/>
    <w:basedOn w:val="a0"/>
    <w:link w:val="a4"/>
    <w:uiPriority w:val="10"/>
    <w:rsid w:val="001511CB"/>
    <w:rPr>
      <w:rFonts w:ascii="微軟正黑體" w:eastAsia="微軟正黑體" w:hAnsi="微軟正黑體" w:cs="微軟正黑體"/>
      <w:b/>
      <w:bCs/>
      <w:sz w:val="32"/>
      <w:szCs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ms19102</dc:creator>
  <dc:description/>
  <cp:lastModifiedBy>BIN</cp:lastModifiedBy>
  <cp:revision>40</cp:revision>
  <dcterms:created xsi:type="dcterms:W3CDTF">2025-07-08T04:32:00Z</dcterms:created>
  <dcterms:modified xsi:type="dcterms:W3CDTF">2025-07-27T08:03:00Z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Acrobat PDFMaker 20 Word 版</vt:lpwstr>
  </property>
  <property fmtid="{D5CDD505-2E9C-101B-9397-08002B2CF9AE}" pid="4" name="LastSaved">
    <vt:filetime>2025-07-08T00:00:00Z</vt:filetime>
  </property>
  <property fmtid="{D5CDD505-2E9C-101B-9397-08002B2CF9AE}" pid="5" name="Producer">
    <vt:lpwstr>Adobe PDF Library 20.6.66</vt:lpwstr>
  </property>
  <property fmtid="{D5CDD505-2E9C-101B-9397-08002B2CF9AE}" pid="6" name="SourceModified">
    <vt:lpwstr>D:20250630055805</vt:lpwstr>
  </property>
</Properties>
</file>